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0C88B" w14:textId="77777777" w:rsidR="009618A0" w:rsidRPr="004336C4" w:rsidRDefault="009618A0" w:rsidP="00841B6C">
      <w:pPr>
        <w:jc w:val="center"/>
        <w:rPr>
          <w:rFonts w:ascii="Aptos" w:hAnsi="Aptos" w:cstheme="majorHAnsi"/>
          <w:b/>
          <w:sz w:val="22"/>
          <w:szCs w:val="22"/>
        </w:rPr>
      </w:pPr>
    </w:p>
    <w:p w14:paraId="1DBA616D" w14:textId="77777777" w:rsidR="009B7C73" w:rsidRPr="004336C4" w:rsidRDefault="005C7247" w:rsidP="00841B6C">
      <w:pPr>
        <w:tabs>
          <w:tab w:val="left" w:pos="4265"/>
          <w:tab w:val="center" w:pos="7285"/>
        </w:tabs>
        <w:rPr>
          <w:rFonts w:ascii="Aptos" w:hAnsi="Aptos" w:cstheme="majorHAnsi"/>
          <w:b/>
          <w:sz w:val="22"/>
          <w:szCs w:val="22"/>
        </w:rPr>
      </w:pPr>
      <w:r w:rsidRPr="004336C4">
        <w:rPr>
          <w:rFonts w:ascii="Aptos" w:hAnsi="Aptos" w:cstheme="majorHAnsi"/>
          <w:b/>
          <w:sz w:val="22"/>
          <w:szCs w:val="22"/>
        </w:rPr>
        <w:tab/>
      </w:r>
      <w:r w:rsidRPr="004336C4">
        <w:rPr>
          <w:rFonts w:ascii="Aptos" w:hAnsi="Aptos" w:cstheme="majorHAnsi"/>
          <w:b/>
          <w:sz w:val="22"/>
          <w:szCs w:val="22"/>
        </w:rPr>
        <w:tab/>
      </w:r>
    </w:p>
    <w:p w14:paraId="12385FDA" w14:textId="77777777" w:rsidR="00FC4682" w:rsidRPr="004336C4" w:rsidRDefault="0067137A" w:rsidP="00841B6C">
      <w:pPr>
        <w:tabs>
          <w:tab w:val="left" w:pos="4265"/>
          <w:tab w:val="center" w:pos="7285"/>
        </w:tabs>
        <w:jc w:val="center"/>
        <w:rPr>
          <w:rFonts w:ascii="Aptos" w:hAnsi="Aptos" w:cstheme="majorHAnsi"/>
          <w:b/>
          <w:sz w:val="22"/>
          <w:szCs w:val="22"/>
        </w:rPr>
      </w:pPr>
      <w:r w:rsidRPr="004336C4">
        <w:rPr>
          <w:rFonts w:ascii="Aptos" w:hAnsi="Aptos" w:cstheme="majorHAnsi"/>
          <w:b/>
          <w:sz w:val="22"/>
          <w:szCs w:val="22"/>
        </w:rPr>
        <w:t xml:space="preserve">SPECYFIKACJA </w:t>
      </w:r>
      <w:r w:rsidR="008A666E" w:rsidRPr="004336C4">
        <w:rPr>
          <w:rFonts w:ascii="Aptos" w:hAnsi="Aptos" w:cstheme="majorHAnsi"/>
          <w:b/>
          <w:sz w:val="22"/>
          <w:szCs w:val="22"/>
          <w:lang w:eastAsia="pl-PL"/>
        </w:rPr>
        <w:t>TECHNICZNO-FUNKCJONALNA</w:t>
      </w:r>
    </w:p>
    <w:p w14:paraId="17C1EC17" w14:textId="77777777" w:rsidR="008A666E" w:rsidRPr="004336C4" w:rsidRDefault="008A666E" w:rsidP="00841B6C">
      <w:pPr>
        <w:pStyle w:val="Bezodstpw"/>
        <w:jc w:val="both"/>
        <w:rPr>
          <w:rFonts w:ascii="Aptos" w:hAnsi="Aptos" w:cstheme="majorHAnsi"/>
          <w:bCs/>
          <w:sz w:val="22"/>
          <w:szCs w:val="22"/>
        </w:rPr>
      </w:pPr>
    </w:p>
    <w:p w14:paraId="27BE2784" w14:textId="77777777" w:rsidR="008D1481" w:rsidRPr="004336C4" w:rsidRDefault="008D1481" w:rsidP="00841B6C">
      <w:pPr>
        <w:pStyle w:val="Bezodstpw"/>
        <w:jc w:val="both"/>
        <w:rPr>
          <w:rFonts w:ascii="Aptos" w:hAnsi="Aptos" w:cstheme="majorHAnsi"/>
          <w:sz w:val="22"/>
          <w:szCs w:val="22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89"/>
        <w:gridCol w:w="5044"/>
        <w:gridCol w:w="4412"/>
        <w:gridCol w:w="4415"/>
      </w:tblGrid>
      <w:tr w:rsidR="008D1481" w:rsidRPr="004336C4" w14:paraId="120E3C2F" w14:textId="77777777" w:rsidTr="002E60FB">
        <w:trPr>
          <w:jc w:val="center"/>
        </w:trPr>
        <w:tc>
          <w:tcPr>
            <w:tcW w:w="237" w:type="pct"/>
            <w:vAlign w:val="center"/>
          </w:tcPr>
          <w:p w14:paraId="44FEA8D4" w14:textId="77777777" w:rsidR="008D1481" w:rsidRPr="004336C4" w:rsidRDefault="008D1481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4336C4">
              <w:rPr>
                <w:rFonts w:ascii="Aptos" w:hAnsi="Aptos" w:cstheme="majorHAnsi"/>
                <w:b/>
                <w:bCs/>
                <w:szCs w:val="22"/>
              </w:rPr>
              <w:t>L. P.</w:t>
            </w:r>
          </w:p>
        </w:tc>
        <w:tc>
          <w:tcPr>
            <w:tcW w:w="1732" w:type="pct"/>
            <w:vAlign w:val="center"/>
          </w:tcPr>
          <w:p w14:paraId="789F977E" w14:textId="77777777" w:rsidR="008D1481" w:rsidRPr="004336C4" w:rsidRDefault="008D1481" w:rsidP="001F43BE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4336C4">
              <w:rPr>
                <w:rFonts w:ascii="Aptos" w:hAnsi="Aptos" w:cstheme="majorHAnsi"/>
                <w:b/>
                <w:bCs/>
                <w:szCs w:val="22"/>
              </w:rPr>
              <w:t>OPIS</w:t>
            </w:r>
          </w:p>
        </w:tc>
        <w:tc>
          <w:tcPr>
            <w:tcW w:w="1515" w:type="pct"/>
            <w:vAlign w:val="center"/>
          </w:tcPr>
          <w:p w14:paraId="1D83ABBF" w14:textId="77777777" w:rsidR="008D1481" w:rsidRPr="004336C4" w:rsidRDefault="008D1481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4336C4">
              <w:rPr>
                <w:rFonts w:ascii="Aptos" w:hAnsi="Aptos" w:cstheme="majorHAnsi"/>
                <w:b/>
                <w:bCs/>
                <w:szCs w:val="22"/>
              </w:rPr>
              <w:t>PARAMETR WYMAGANY</w:t>
            </w:r>
          </w:p>
        </w:tc>
        <w:tc>
          <w:tcPr>
            <w:tcW w:w="1516" w:type="pct"/>
            <w:vAlign w:val="center"/>
          </w:tcPr>
          <w:p w14:paraId="5F60724F" w14:textId="77777777" w:rsidR="008D1481" w:rsidRPr="004336C4" w:rsidRDefault="008D1481">
            <w:pPr>
              <w:jc w:val="center"/>
              <w:rPr>
                <w:rFonts w:ascii="Aptos" w:hAnsi="Aptos" w:cstheme="majorHAnsi"/>
                <w:b/>
                <w:bCs/>
                <w:szCs w:val="22"/>
              </w:rPr>
            </w:pPr>
            <w:r w:rsidRPr="004336C4">
              <w:rPr>
                <w:rFonts w:ascii="Aptos" w:hAnsi="Aptos" w:cstheme="majorHAnsi"/>
                <w:b/>
                <w:bCs/>
                <w:szCs w:val="22"/>
              </w:rPr>
              <w:t>PARAMETR OFEROWANY</w:t>
            </w:r>
          </w:p>
        </w:tc>
      </w:tr>
      <w:tr w:rsidR="008D1481" w:rsidRPr="004336C4" w14:paraId="54F4FE22" w14:textId="77777777" w:rsidTr="002E60FB">
        <w:trPr>
          <w:jc w:val="center"/>
        </w:trPr>
        <w:tc>
          <w:tcPr>
            <w:tcW w:w="5000" w:type="pct"/>
            <w:gridSpan w:val="4"/>
            <w:vAlign w:val="center"/>
          </w:tcPr>
          <w:p w14:paraId="472797BD" w14:textId="7918D97F" w:rsidR="008D1481" w:rsidRPr="004336C4" w:rsidRDefault="00417542" w:rsidP="00033C51">
            <w:pPr>
              <w:rPr>
                <w:rFonts w:ascii="Aptos" w:hAnsi="Aptos" w:cstheme="majorHAnsi"/>
                <w:b/>
                <w:bCs/>
                <w:szCs w:val="22"/>
              </w:rPr>
            </w:pPr>
            <w:r w:rsidRPr="004336C4">
              <w:rPr>
                <w:rFonts w:ascii="Aptos" w:hAnsi="Aptos" w:cstheme="majorHAnsi"/>
                <w:b/>
                <w:bCs/>
                <w:szCs w:val="22"/>
              </w:rPr>
              <w:t xml:space="preserve">Pompa objętościowa </w:t>
            </w:r>
          </w:p>
        </w:tc>
      </w:tr>
      <w:tr w:rsidR="008D1481" w:rsidRPr="004336C4" w14:paraId="34C73B5A" w14:textId="77777777" w:rsidTr="002E60FB">
        <w:trPr>
          <w:jc w:val="center"/>
        </w:trPr>
        <w:tc>
          <w:tcPr>
            <w:tcW w:w="237" w:type="pct"/>
            <w:vAlign w:val="center"/>
          </w:tcPr>
          <w:p w14:paraId="55C63B56" w14:textId="77777777" w:rsidR="008D1481" w:rsidRPr="004336C4" w:rsidRDefault="008D1481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1.</w:t>
            </w:r>
          </w:p>
        </w:tc>
        <w:tc>
          <w:tcPr>
            <w:tcW w:w="1732" w:type="pct"/>
            <w:vAlign w:val="center"/>
          </w:tcPr>
          <w:p w14:paraId="30DF3C0B" w14:textId="77777777" w:rsidR="008D1481" w:rsidRPr="004336C4" w:rsidRDefault="008D1481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Typ/ model/ producent wyrobu medycznego</w:t>
            </w:r>
          </w:p>
        </w:tc>
        <w:tc>
          <w:tcPr>
            <w:tcW w:w="1515" w:type="pct"/>
            <w:vAlign w:val="center"/>
          </w:tcPr>
          <w:p w14:paraId="7F0F37C0" w14:textId="77777777" w:rsidR="008D1481" w:rsidRPr="004336C4" w:rsidRDefault="008D1481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(proszę podać)</w:t>
            </w:r>
          </w:p>
        </w:tc>
        <w:tc>
          <w:tcPr>
            <w:tcW w:w="1516" w:type="pct"/>
            <w:vAlign w:val="center"/>
          </w:tcPr>
          <w:p w14:paraId="05DAC514" w14:textId="77777777" w:rsidR="008D1481" w:rsidRPr="004336C4" w:rsidRDefault="008D1481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8D1481" w:rsidRPr="004336C4" w14:paraId="2BFBEE62" w14:textId="77777777" w:rsidTr="002E60FB">
        <w:trPr>
          <w:jc w:val="center"/>
        </w:trPr>
        <w:tc>
          <w:tcPr>
            <w:tcW w:w="237" w:type="pct"/>
            <w:vAlign w:val="center"/>
          </w:tcPr>
          <w:p w14:paraId="5A3CB02E" w14:textId="77777777" w:rsidR="008D1481" w:rsidRPr="004336C4" w:rsidRDefault="008D1481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2. </w:t>
            </w:r>
          </w:p>
        </w:tc>
        <w:tc>
          <w:tcPr>
            <w:tcW w:w="1732" w:type="pct"/>
            <w:vAlign w:val="center"/>
          </w:tcPr>
          <w:p w14:paraId="653FAF4C" w14:textId="125D522F" w:rsidR="008D1481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Możliwa podaż płynów infuzyjnych, żywienia pozajelitowego, żywienia dojelitowego, podaż krwi i preparatów krwiozastępczych, preparatów światłoczułych. Dreny bez zawartości DEHP </w:t>
            </w:r>
            <w:r w:rsidRPr="004336C4">
              <w:rPr>
                <w:rFonts w:ascii="Aptos" w:hAnsi="Aptos" w:cstheme="majorHAnsi"/>
                <w:szCs w:val="22"/>
              </w:rPr>
              <w:br/>
              <w:t>i lateksu.</w:t>
            </w:r>
          </w:p>
        </w:tc>
        <w:tc>
          <w:tcPr>
            <w:tcW w:w="1515" w:type="pct"/>
            <w:vAlign w:val="center"/>
          </w:tcPr>
          <w:p w14:paraId="5734E79A" w14:textId="74AACF8B" w:rsidR="008D1481" w:rsidRPr="004336C4" w:rsidRDefault="008F6985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23A5D57D" w14:textId="77777777" w:rsidR="008D1481" w:rsidRPr="004336C4" w:rsidRDefault="008D1481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0C047D15" w14:textId="77777777" w:rsidTr="002E60FB">
        <w:trPr>
          <w:jc w:val="center"/>
        </w:trPr>
        <w:tc>
          <w:tcPr>
            <w:tcW w:w="237" w:type="pct"/>
            <w:vAlign w:val="center"/>
          </w:tcPr>
          <w:p w14:paraId="7AF4F47F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3.</w:t>
            </w:r>
          </w:p>
        </w:tc>
        <w:tc>
          <w:tcPr>
            <w:tcW w:w="1732" w:type="pct"/>
          </w:tcPr>
          <w:p w14:paraId="2254B69B" w14:textId="1400A83A" w:rsidR="00417542" w:rsidRPr="004336C4" w:rsidRDefault="00417542" w:rsidP="00033C51">
            <w:pPr>
              <w:spacing w:line="276" w:lineRule="auto"/>
              <w:rPr>
                <w:rFonts w:ascii="Aptos" w:hAnsi="Aptos" w:cstheme="majorHAnsi"/>
                <w:color w:val="EE0000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Regulowana czułość detektora powietrza min. 6 stopni. Wielkość pęcherzyków 15/ 50/ 100/ 250/ 500/ 800 </w:t>
            </w:r>
            <w:proofErr w:type="spellStart"/>
            <w:r w:rsidRPr="004336C4">
              <w:rPr>
                <w:rFonts w:ascii="Aptos" w:hAnsi="Aptos" w:cstheme="majorHAnsi"/>
                <w:szCs w:val="22"/>
              </w:rPr>
              <w:t>uL</w:t>
            </w:r>
            <w:proofErr w:type="spellEnd"/>
            <w:r w:rsidR="00983253" w:rsidRPr="004336C4">
              <w:rPr>
                <w:rFonts w:ascii="Aptos" w:hAnsi="Aptos" w:cstheme="majorHAnsi"/>
                <w:strike/>
                <w:szCs w:val="22"/>
              </w:rPr>
              <w:t xml:space="preserve"> </w:t>
            </w:r>
            <w:r w:rsidR="00983253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26EE2590" w14:textId="4BC80810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1923C335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73AA8970" w14:textId="77777777" w:rsidTr="002E60FB">
        <w:trPr>
          <w:jc w:val="center"/>
        </w:trPr>
        <w:tc>
          <w:tcPr>
            <w:tcW w:w="237" w:type="pct"/>
            <w:vAlign w:val="center"/>
          </w:tcPr>
          <w:p w14:paraId="233F4448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4. </w:t>
            </w:r>
          </w:p>
        </w:tc>
        <w:tc>
          <w:tcPr>
            <w:tcW w:w="1732" w:type="pct"/>
            <w:vAlign w:val="center"/>
          </w:tcPr>
          <w:p w14:paraId="4D2B33BB" w14:textId="50F90677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Wielkość skumulowana w czasie 15 min programowana od 0,1 do 1,0 ml</w:t>
            </w:r>
            <w:r w:rsidR="00983253" w:rsidRPr="004336C4">
              <w:rPr>
                <w:rFonts w:ascii="Aptos" w:hAnsi="Aptos" w:cstheme="majorHAnsi"/>
                <w:szCs w:val="22"/>
              </w:rPr>
              <w:t xml:space="preserve"> </w:t>
            </w:r>
            <w:r w:rsidR="00610A57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0D6C61E8" w14:textId="5B24B8DD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11F4B403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632387BD" w14:textId="77777777" w:rsidTr="002E60FB">
        <w:trPr>
          <w:jc w:val="center"/>
        </w:trPr>
        <w:tc>
          <w:tcPr>
            <w:tcW w:w="237" w:type="pct"/>
            <w:vAlign w:val="center"/>
          </w:tcPr>
          <w:p w14:paraId="70679049" w14:textId="243ADE03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5.</w:t>
            </w:r>
          </w:p>
        </w:tc>
        <w:tc>
          <w:tcPr>
            <w:tcW w:w="1732" w:type="pct"/>
            <w:vAlign w:val="center"/>
          </w:tcPr>
          <w:p w14:paraId="50173170" w14:textId="7C79DBB8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Dokładność szybkości dozowania  +/- 4,5% (dla dedykowanych drenów)</w:t>
            </w:r>
            <w:r w:rsidR="00983253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24D06557" w14:textId="666FC355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69CC714D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33A01EF0" w14:textId="77777777" w:rsidTr="002E60FB">
        <w:trPr>
          <w:jc w:val="center"/>
        </w:trPr>
        <w:tc>
          <w:tcPr>
            <w:tcW w:w="237" w:type="pct"/>
            <w:vAlign w:val="center"/>
          </w:tcPr>
          <w:p w14:paraId="651B45A9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6.</w:t>
            </w:r>
          </w:p>
        </w:tc>
        <w:tc>
          <w:tcPr>
            <w:tcW w:w="1732" w:type="pct"/>
            <w:vAlign w:val="center"/>
          </w:tcPr>
          <w:p w14:paraId="624C42BA" w14:textId="69EF0F89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Szybkość dozowania: minimum w zakresie 0,1-2200 ml/h</w:t>
            </w:r>
            <w:r w:rsidR="00610A57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22A8CDB6" w14:textId="567787F2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40E8876C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31226408" w14:textId="77777777" w:rsidTr="002E60FB">
        <w:trPr>
          <w:jc w:val="center"/>
        </w:trPr>
        <w:tc>
          <w:tcPr>
            <w:tcW w:w="237" w:type="pct"/>
            <w:vAlign w:val="center"/>
          </w:tcPr>
          <w:p w14:paraId="20CFBBD3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7.</w:t>
            </w:r>
          </w:p>
        </w:tc>
        <w:tc>
          <w:tcPr>
            <w:tcW w:w="1732" w:type="pct"/>
            <w:vAlign w:val="center"/>
          </w:tcPr>
          <w:p w14:paraId="5C6550F0" w14:textId="1333F7FA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Szybkość bolusa programowana minimum </w:t>
            </w:r>
            <w:r w:rsidR="000864C2" w:rsidRPr="004336C4">
              <w:rPr>
                <w:rFonts w:ascii="Aptos" w:hAnsi="Aptos" w:cstheme="majorHAnsi"/>
                <w:szCs w:val="22"/>
              </w:rPr>
              <w:br/>
            </w:r>
            <w:r w:rsidRPr="004336C4">
              <w:rPr>
                <w:rFonts w:ascii="Aptos" w:hAnsi="Aptos" w:cstheme="majorHAnsi"/>
                <w:szCs w:val="22"/>
              </w:rPr>
              <w:t>w zakresie 0,1-2200 ml/h.</w:t>
            </w:r>
            <w:r w:rsidR="00610A57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35DEE560" w14:textId="25325057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431253B7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077C35A9" w14:textId="77777777" w:rsidTr="002E60FB">
        <w:trPr>
          <w:jc w:val="center"/>
        </w:trPr>
        <w:tc>
          <w:tcPr>
            <w:tcW w:w="237" w:type="pct"/>
            <w:vAlign w:val="center"/>
          </w:tcPr>
          <w:p w14:paraId="18B0FA0A" w14:textId="7FB31B53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8.</w:t>
            </w:r>
          </w:p>
        </w:tc>
        <w:tc>
          <w:tcPr>
            <w:tcW w:w="1732" w:type="pct"/>
            <w:vAlign w:val="center"/>
          </w:tcPr>
          <w:p w14:paraId="58750C87" w14:textId="7775A8EE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Możliwość podaży bolusa w jednostkach: ml.</w:t>
            </w:r>
          </w:p>
        </w:tc>
        <w:tc>
          <w:tcPr>
            <w:tcW w:w="1515" w:type="pct"/>
            <w:vAlign w:val="center"/>
          </w:tcPr>
          <w:p w14:paraId="1D6E7F0C" w14:textId="348190F1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330CA755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6E30364E" w14:textId="77777777" w:rsidTr="002E60FB">
        <w:trPr>
          <w:jc w:val="center"/>
        </w:trPr>
        <w:tc>
          <w:tcPr>
            <w:tcW w:w="237" w:type="pct"/>
            <w:vAlign w:val="center"/>
          </w:tcPr>
          <w:p w14:paraId="77CEE0BA" w14:textId="5FD5F7C8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9.</w:t>
            </w:r>
          </w:p>
        </w:tc>
        <w:tc>
          <w:tcPr>
            <w:tcW w:w="1732" w:type="pct"/>
            <w:vAlign w:val="center"/>
          </w:tcPr>
          <w:p w14:paraId="569042B2" w14:textId="4BBCF94D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Pompa inicjuje automatycznie redukcję bolusa po zresetowaniu alarmu okluzji</w:t>
            </w:r>
            <w:r w:rsidR="00E921CF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775B7BB4" w14:textId="0238A526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0BA5AED1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247C1321" w14:textId="77777777" w:rsidTr="002E60FB">
        <w:trPr>
          <w:jc w:val="center"/>
        </w:trPr>
        <w:tc>
          <w:tcPr>
            <w:tcW w:w="237" w:type="pct"/>
            <w:vAlign w:val="center"/>
          </w:tcPr>
          <w:p w14:paraId="6667D869" w14:textId="5A446751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10.</w:t>
            </w:r>
          </w:p>
        </w:tc>
        <w:tc>
          <w:tcPr>
            <w:tcW w:w="1732" w:type="pct"/>
          </w:tcPr>
          <w:p w14:paraId="38E61A59" w14:textId="0F2BE95E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Zmiana prędkości, prędkości dawkowania lub nazwy leku bez zatrzymywania infuzji.</w:t>
            </w:r>
          </w:p>
        </w:tc>
        <w:tc>
          <w:tcPr>
            <w:tcW w:w="1515" w:type="pct"/>
            <w:vAlign w:val="center"/>
          </w:tcPr>
          <w:p w14:paraId="6E8D98E1" w14:textId="5DEED731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492ED3B1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573580F1" w14:textId="77777777" w:rsidTr="002E60FB">
        <w:trPr>
          <w:jc w:val="center"/>
        </w:trPr>
        <w:tc>
          <w:tcPr>
            <w:tcW w:w="237" w:type="pct"/>
            <w:vAlign w:val="center"/>
          </w:tcPr>
          <w:p w14:paraId="6484AFAD" w14:textId="7DEAC8BF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11.</w:t>
            </w:r>
          </w:p>
        </w:tc>
        <w:tc>
          <w:tcPr>
            <w:tcW w:w="1732" w:type="pct"/>
            <w:vAlign w:val="center"/>
          </w:tcPr>
          <w:p w14:paraId="51546753" w14:textId="1A87F28A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Wykrywanie okluzji górnej (pojemnik/ pompa) oraz okluzji dolnej (pompa/pacjent)</w:t>
            </w:r>
          </w:p>
        </w:tc>
        <w:tc>
          <w:tcPr>
            <w:tcW w:w="1515" w:type="pct"/>
            <w:vAlign w:val="center"/>
          </w:tcPr>
          <w:p w14:paraId="2E0CAF13" w14:textId="242E23BD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37A5302A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423A1CF0" w14:textId="77777777" w:rsidTr="002E60FB">
        <w:trPr>
          <w:jc w:val="center"/>
        </w:trPr>
        <w:tc>
          <w:tcPr>
            <w:tcW w:w="237" w:type="pct"/>
            <w:vAlign w:val="center"/>
          </w:tcPr>
          <w:p w14:paraId="0FFF0B78" w14:textId="5B9D0D43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12. </w:t>
            </w:r>
          </w:p>
        </w:tc>
        <w:tc>
          <w:tcPr>
            <w:tcW w:w="1732" w:type="pct"/>
            <w:vAlign w:val="center"/>
          </w:tcPr>
          <w:p w14:paraId="4667BDF4" w14:textId="2BB4E3C1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Regulowane progi ciśnienia  w zakresie min. od 50 do 1100 mm Hg</w:t>
            </w:r>
            <w:r w:rsidR="00E921CF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14EF1ECC" w14:textId="46D5DFAC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347D33D4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4E10A5F4" w14:textId="77777777" w:rsidTr="002E60FB">
        <w:trPr>
          <w:jc w:val="center"/>
        </w:trPr>
        <w:tc>
          <w:tcPr>
            <w:tcW w:w="237" w:type="pct"/>
            <w:vAlign w:val="center"/>
          </w:tcPr>
          <w:p w14:paraId="606146E3" w14:textId="7367D3D1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lastRenderedPageBreak/>
              <w:t>13.</w:t>
            </w:r>
          </w:p>
        </w:tc>
        <w:tc>
          <w:tcPr>
            <w:tcW w:w="1732" w:type="pct"/>
            <w:vAlign w:val="center"/>
          </w:tcPr>
          <w:p w14:paraId="0EE962C9" w14:textId="623CBC39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Możliwość wyboru min. </w:t>
            </w:r>
            <w:r w:rsidR="00E921CF" w:rsidRPr="004336C4">
              <w:rPr>
                <w:rFonts w:ascii="Aptos" w:hAnsi="Aptos" w:cstheme="majorHAnsi"/>
                <w:szCs w:val="22"/>
              </w:rPr>
              <w:t xml:space="preserve">4 </w:t>
            </w:r>
            <w:r w:rsidRPr="004336C4">
              <w:rPr>
                <w:rFonts w:ascii="Aptos" w:hAnsi="Aptos" w:cstheme="majorHAnsi"/>
                <w:szCs w:val="22"/>
              </w:rPr>
              <w:t xml:space="preserve"> jednostek ciśnienia: mmHg/</w:t>
            </w:r>
            <w:proofErr w:type="spellStart"/>
            <w:r w:rsidRPr="004336C4">
              <w:rPr>
                <w:rFonts w:ascii="Aptos" w:hAnsi="Aptos" w:cstheme="majorHAnsi"/>
                <w:szCs w:val="22"/>
              </w:rPr>
              <w:t>kPa</w:t>
            </w:r>
            <w:proofErr w:type="spellEnd"/>
            <w:r w:rsidRPr="004336C4">
              <w:rPr>
                <w:rFonts w:ascii="Aptos" w:hAnsi="Aptos" w:cstheme="majorHAnsi"/>
                <w:szCs w:val="22"/>
              </w:rPr>
              <w:t>/bar/psi</w:t>
            </w:r>
            <w:r w:rsidR="00E921CF" w:rsidRPr="004336C4">
              <w:rPr>
                <w:rFonts w:ascii="Aptos" w:hAnsi="Aptos" w:cstheme="majorHAnsi"/>
                <w:szCs w:val="22"/>
              </w:rPr>
              <w:t xml:space="preserve"> </w:t>
            </w:r>
          </w:p>
        </w:tc>
        <w:tc>
          <w:tcPr>
            <w:tcW w:w="1515" w:type="pct"/>
            <w:vAlign w:val="center"/>
          </w:tcPr>
          <w:p w14:paraId="2A7F7736" w14:textId="33EA138E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770D2350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754EB168" w14:textId="77777777" w:rsidTr="002E60FB">
        <w:trPr>
          <w:jc w:val="center"/>
        </w:trPr>
        <w:tc>
          <w:tcPr>
            <w:tcW w:w="237" w:type="pct"/>
            <w:vAlign w:val="center"/>
          </w:tcPr>
          <w:p w14:paraId="09ADC79E" w14:textId="4DB8EE04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14.</w:t>
            </w:r>
          </w:p>
        </w:tc>
        <w:tc>
          <w:tcPr>
            <w:tcW w:w="1732" w:type="pct"/>
            <w:vAlign w:val="center"/>
          </w:tcPr>
          <w:p w14:paraId="6ACF9E16" w14:textId="5BEFD462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Tryb </w:t>
            </w:r>
            <w:proofErr w:type="spellStart"/>
            <w:r w:rsidRPr="004336C4">
              <w:rPr>
                <w:rFonts w:ascii="Aptos" w:hAnsi="Aptos" w:cstheme="majorHAnsi"/>
                <w:szCs w:val="22"/>
              </w:rPr>
              <w:t>mikro</w:t>
            </w:r>
            <w:r w:rsidR="003F0F21" w:rsidRPr="004336C4">
              <w:rPr>
                <w:rFonts w:ascii="Aptos" w:hAnsi="Aptos" w:cstheme="majorHAnsi"/>
                <w:szCs w:val="22"/>
              </w:rPr>
              <w:t>i</w:t>
            </w:r>
            <w:r w:rsidRPr="004336C4">
              <w:rPr>
                <w:rFonts w:ascii="Aptos" w:hAnsi="Aptos" w:cstheme="majorHAnsi"/>
                <w:szCs w:val="22"/>
              </w:rPr>
              <w:t>nfuzji</w:t>
            </w:r>
            <w:proofErr w:type="spellEnd"/>
            <w:r w:rsidRPr="004336C4">
              <w:rPr>
                <w:rFonts w:ascii="Aptos" w:hAnsi="Aptos" w:cstheme="majorHAnsi"/>
                <w:color w:val="EE0000"/>
                <w:szCs w:val="22"/>
              </w:rPr>
              <w:t xml:space="preserve"> </w:t>
            </w:r>
            <w:r w:rsidRPr="004336C4">
              <w:rPr>
                <w:rFonts w:ascii="Aptos" w:hAnsi="Aptos" w:cstheme="majorHAnsi"/>
                <w:szCs w:val="22"/>
              </w:rPr>
              <w:t>z możliwością ustawienia zakresu prędkości od 0,1 ml/h do 100 ml/h</w:t>
            </w:r>
            <w:r w:rsidR="00D85C31" w:rsidRPr="004336C4">
              <w:rPr>
                <w:rFonts w:ascii="Aptos" w:hAnsi="Aptos" w:cstheme="majorHAnsi"/>
                <w:szCs w:val="22"/>
              </w:rPr>
              <w:t xml:space="preserve">  </w:t>
            </w:r>
          </w:p>
        </w:tc>
        <w:tc>
          <w:tcPr>
            <w:tcW w:w="1515" w:type="pct"/>
            <w:vAlign w:val="center"/>
          </w:tcPr>
          <w:p w14:paraId="39F099D8" w14:textId="59975FFC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5E4AC404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384C0D67" w14:textId="77777777" w:rsidTr="002E60FB">
        <w:trPr>
          <w:jc w:val="center"/>
        </w:trPr>
        <w:tc>
          <w:tcPr>
            <w:tcW w:w="237" w:type="pct"/>
            <w:vAlign w:val="center"/>
          </w:tcPr>
          <w:p w14:paraId="2B3B8203" w14:textId="45C898F5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15.</w:t>
            </w:r>
          </w:p>
        </w:tc>
        <w:tc>
          <w:tcPr>
            <w:tcW w:w="1732" w:type="pct"/>
            <w:vAlign w:val="center"/>
          </w:tcPr>
          <w:p w14:paraId="24F77ACB" w14:textId="47A531DD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Czas pracy z akumulatora minimum 5 h przy infuzji 5ml/h.</w:t>
            </w:r>
          </w:p>
        </w:tc>
        <w:tc>
          <w:tcPr>
            <w:tcW w:w="1515" w:type="pct"/>
            <w:vAlign w:val="center"/>
          </w:tcPr>
          <w:p w14:paraId="452E7F15" w14:textId="02BA6B37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23CE3175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17542" w:rsidRPr="004336C4" w14:paraId="1647BF3B" w14:textId="77777777" w:rsidTr="002E60FB">
        <w:trPr>
          <w:jc w:val="center"/>
        </w:trPr>
        <w:tc>
          <w:tcPr>
            <w:tcW w:w="237" w:type="pct"/>
            <w:vAlign w:val="center"/>
          </w:tcPr>
          <w:p w14:paraId="578404DB" w14:textId="605DAF71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16.</w:t>
            </w:r>
          </w:p>
        </w:tc>
        <w:tc>
          <w:tcPr>
            <w:tcW w:w="1732" w:type="pct"/>
            <w:vAlign w:val="center"/>
          </w:tcPr>
          <w:p w14:paraId="7EBB21DE" w14:textId="3B7A8260" w:rsidR="00417542" w:rsidRPr="004336C4" w:rsidRDefault="00417542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Pompa posiada funkcję </w:t>
            </w:r>
            <w:r w:rsidR="00D85C31" w:rsidRPr="004336C4">
              <w:rPr>
                <w:rFonts w:ascii="Aptos" w:hAnsi="Aptos" w:cstheme="majorHAnsi"/>
                <w:szCs w:val="22"/>
              </w:rPr>
              <w:t xml:space="preserve">ręcznego lub </w:t>
            </w:r>
            <w:r w:rsidRPr="004336C4">
              <w:rPr>
                <w:rFonts w:ascii="Aptos" w:hAnsi="Aptos" w:cstheme="majorHAnsi"/>
                <w:szCs w:val="22"/>
              </w:rPr>
              <w:t>automatycznego blokowania klawiatury</w:t>
            </w:r>
            <w:r w:rsidR="00D85C31" w:rsidRPr="004336C4">
              <w:rPr>
                <w:rFonts w:ascii="Aptos" w:hAnsi="Aptos" w:cstheme="majorHAnsi"/>
                <w:szCs w:val="22"/>
              </w:rPr>
              <w:t xml:space="preserve">. </w:t>
            </w:r>
            <w:r w:rsidRPr="004336C4">
              <w:rPr>
                <w:rFonts w:ascii="Aptos" w:hAnsi="Aptos" w:cstheme="majorHAnsi"/>
                <w:szCs w:val="22"/>
              </w:rPr>
              <w:t>- blokada następuje po upływie zaprogramowanego czasu: 15 s, 30 s, 1 min, 2 min, 3 min, 4 min, 5 min.</w:t>
            </w:r>
          </w:p>
        </w:tc>
        <w:tc>
          <w:tcPr>
            <w:tcW w:w="1515" w:type="pct"/>
            <w:vAlign w:val="center"/>
          </w:tcPr>
          <w:p w14:paraId="6C0F3975" w14:textId="15E01BC0" w:rsidR="00417542" w:rsidRPr="004336C4" w:rsidRDefault="008F6985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1F1C286E" w14:textId="77777777" w:rsidR="00417542" w:rsidRPr="004336C4" w:rsidRDefault="00417542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FB3A95" w:rsidRPr="004336C4" w14:paraId="0C60DA9E" w14:textId="77777777" w:rsidTr="002E60FB">
        <w:trPr>
          <w:jc w:val="center"/>
        </w:trPr>
        <w:tc>
          <w:tcPr>
            <w:tcW w:w="237" w:type="pct"/>
            <w:vAlign w:val="center"/>
          </w:tcPr>
          <w:p w14:paraId="18EF87A8" w14:textId="2EABE583" w:rsidR="00FB3A95" w:rsidRPr="004336C4" w:rsidRDefault="00142244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17. </w:t>
            </w:r>
          </w:p>
        </w:tc>
        <w:tc>
          <w:tcPr>
            <w:tcW w:w="1732" w:type="pct"/>
            <w:vAlign w:val="center"/>
          </w:tcPr>
          <w:p w14:paraId="3833ED88" w14:textId="10BC1ECD" w:rsidR="00FB3A95" w:rsidRPr="004336C4" w:rsidRDefault="00142244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Aktualizacja oprogramowania urządzenia oraz importu biblioteki leków bezpośrednio z pamięci USB, bez konieczności użycia komputera lub dodatkowego oprogramowania.</w:t>
            </w:r>
          </w:p>
        </w:tc>
        <w:tc>
          <w:tcPr>
            <w:tcW w:w="1515" w:type="pct"/>
            <w:vAlign w:val="center"/>
          </w:tcPr>
          <w:p w14:paraId="0256D80C" w14:textId="4660392C" w:rsidR="00142244" w:rsidRPr="004336C4" w:rsidRDefault="00142244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TAK – </w:t>
            </w:r>
            <w:r w:rsidR="003108F6">
              <w:rPr>
                <w:rFonts w:ascii="Aptos" w:hAnsi="Aptos" w:cstheme="majorHAnsi"/>
                <w:szCs w:val="22"/>
              </w:rPr>
              <w:t>5</w:t>
            </w:r>
            <w:r w:rsidRPr="004336C4">
              <w:rPr>
                <w:rFonts w:ascii="Aptos" w:hAnsi="Aptos" w:cstheme="majorHAnsi"/>
                <w:szCs w:val="22"/>
              </w:rPr>
              <w:t xml:space="preserve"> pkt</w:t>
            </w:r>
          </w:p>
          <w:p w14:paraId="3B2C4868" w14:textId="58AAF1D7" w:rsidR="00FB3A95" w:rsidRPr="004336C4" w:rsidRDefault="00142244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NIE – 0 pkt</w:t>
            </w:r>
          </w:p>
        </w:tc>
        <w:tc>
          <w:tcPr>
            <w:tcW w:w="1516" w:type="pct"/>
            <w:vAlign w:val="center"/>
          </w:tcPr>
          <w:p w14:paraId="2CE29AFE" w14:textId="77777777" w:rsidR="00FB3A95" w:rsidRPr="004336C4" w:rsidRDefault="00FB3A95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142244" w:rsidRPr="004336C4" w14:paraId="091CE079" w14:textId="77777777" w:rsidTr="002E60FB">
        <w:trPr>
          <w:jc w:val="center"/>
        </w:trPr>
        <w:tc>
          <w:tcPr>
            <w:tcW w:w="237" w:type="pct"/>
            <w:vAlign w:val="center"/>
          </w:tcPr>
          <w:p w14:paraId="1FA7D402" w14:textId="33AD282E" w:rsidR="00142244" w:rsidRPr="004336C4" w:rsidRDefault="00316610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18. </w:t>
            </w:r>
          </w:p>
        </w:tc>
        <w:tc>
          <w:tcPr>
            <w:tcW w:w="1732" w:type="pct"/>
            <w:vAlign w:val="center"/>
          </w:tcPr>
          <w:p w14:paraId="047D15E4" w14:textId="538E2D82" w:rsidR="00142244" w:rsidRPr="004336C4" w:rsidRDefault="00CF617B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Historia zdarzeń dostępna bezpośrednio z pompy – rejestr</w:t>
            </w:r>
            <w:r w:rsidR="004E27D5" w:rsidRPr="004336C4">
              <w:rPr>
                <w:rFonts w:ascii="Aptos" w:hAnsi="Aptos" w:cstheme="majorHAnsi"/>
                <w:szCs w:val="22"/>
              </w:rPr>
              <w:t xml:space="preserve"> </w:t>
            </w:r>
            <w:r w:rsidRPr="004336C4">
              <w:rPr>
                <w:rFonts w:ascii="Aptos" w:hAnsi="Aptos" w:cstheme="majorHAnsi"/>
                <w:szCs w:val="22"/>
              </w:rPr>
              <w:t>3</w:t>
            </w:r>
            <w:r w:rsidR="004E27D5" w:rsidRPr="004336C4">
              <w:rPr>
                <w:rFonts w:ascii="Aptos" w:hAnsi="Aptos" w:cstheme="majorHAnsi"/>
                <w:szCs w:val="22"/>
              </w:rPr>
              <w:t>5</w:t>
            </w:r>
            <w:r w:rsidRPr="004336C4">
              <w:rPr>
                <w:rFonts w:ascii="Aptos" w:hAnsi="Aptos" w:cstheme="majorHAnsi"/>
                <w:szCs w:val="22"/>
              </w:rPr>
              <w:t>00 zdarzeń z datą i godziną zdarzenia z zapisem każdej czynności wykonywanej na pompie.</w:t>
            </w:r>
          </w:p>
        </w:tc>
        <w:tc>
          <w:tcPr>
            <w:tcW w:w="1515" w:type="pct"/>
            <w:vAlign w:val="center"/>
          </w:tcPr>
          <w:p w14:paraId="4DBD720B" w14:textId="23F9244B" w:rsidR="00142244" w:rsidRPr="004336C4" w:rsidRDefault="002276DB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77CCDBE5" w14:textId="77777777" w:rsidR="00142244" w:rsidRPr="004336C4" w:rsidRDefault="00142244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CF617B" w:rsidRPr="004336C4" w14:paraId="02FBA679" w14:textId="77777777" w:rsidTr="002E60FB">
        <w:trPr>
          <w:jc w:val="center"/>
        </w:trPr>
        <w:tc>
          <w:tcPr>
            <w:tcW w:w="237" w:type="pct"/>
            <w:vAlign w:val="center"/>
          </w:tcPr>
          <w:p w14:paraId="78E505A6" w14:textId="7BB1D3A3" w:rsidR="00CF617B" w:rsidRPr="004336C4" w:rsidRDefault="00CF617B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19.</w:t>
            </w:r>
          </w:p>
        </w:tc>
        <w:tc>
          <w:tcPr>
            <w:tcW w:w="1732" w:type="pct"/>
            <w:vAlign w:val="center"/>
          </w:tcPr>
          <w:p w14:paraId="05169770" w14:textId="5FEFDFE4" w:rsidR="00CF617B" w:rsidRPr="004336C4" w:rsidRDefault="002276DB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Kolorowy dotykowy wyświetlacz dotykowy LCD o przekątnej min</w:t>
            </w:r>
            <w:r w:rsidR="000A4A94" w:rsidRPr="004336C4">
              <w:rPr>
                <w:rFonts w:ascii="Aptos" w:hAnsi="Aptos" w:cstheme="majorHAnsi"/>
                <w:szCs w:val="22"/>
              </w:rPr>
              <w:t xml:space="preserve">. </w:t>
            </w:r>
            <w:r w:rsidRPr="004336C4">
              <w:rPr>
                <w:rFonts w:ascii="Aptos" w:hAnsi="Aptos" w:cstheme="majorHAnsi"/>
                <w:szCs w:val="22"/>
              </w:rPr>
              <w:t>3</w:t>
            </w:r>
            <w:r w:rsidR="00D20992" w:rsidRPr="004336C4">
              <w:rPr>
                <w:rFonts w:ascii="Aptos" w:hAnsi="Aptos" w:cstheme="majorHAnsi"/>
                <w:szCs w:val="22"/>
              </w:rPr>
              <w:t>,5</w:t>
            </w:r>
            <w:r w:rsidRPr="004336C4">
              <w:rPr>
                <w:rFonts w:ascii="Aptos" w:hAnsi="Aptos" w:cstheme="majorHAnsi"/>
                <w:szCs w:val="22"/>
              </w:rPr>
              <w:t>";</w:t>
            </w:r>
          </w:p>
        </w:tc>
        <w:tc>
          <w:tcPr>
            <w:tcW w:w="1515" w:type="pct"/>
            <w:vAlign w:val="center"/>
          </w:tcPr>
          <w:p w14:paraId="4EBC46FA" w14:textId="533A9D1C" w:rsidR="00CF617B" w:rsidRPr="004336C4" w:rsidRDefault="002276DB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27FBD3DE" w14:textId="77777777" w:rsidR="00CF617B" w:rsidRPr="004336C4" w:rsidRDefault="00CF617B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950D0" w:rsidRPr="004336C4" w14:paraId="7039E735" w14:textId="77777777" w:rsidTr="002E60FB">
        <w:trPr>
          <w:jc w:val="center"/>
        </w:trPr>
        <w:tc>
          <w:tcPr>
            <w:tcW w:w="237" w:type="pct"/>
            <w:vAlign w:val="center"/>
          </w:tcPr>
          <w:p w14:paraId="056C416E" w14:textId="4701BA2A" w:rsidR="004950D0" w:rsidRPr="004336C4" w:rsidRDefault="004950D0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20.</w:t>
            </w:r>
          </w:p>
        </w:tc>
        <w:tc>
          <w:tcPr>
            <w:tcW w:w="1732" w:type="pct"/>
            <w:vAlign w:val="center"/>
          </w:tcPr>
          <w:p w14:paraId="2516C58C" w14:textId="7043E87C" w:rsidR="004950D0" w:rsidRPr="004336C4" w:rsidRDefault="004950D0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Pompa wyposażona w port USB pozwalający na import/eksport danych.</w:t>
            </w:r>
          </w:p>
        </w:tc>
        <w:tc>
          <w:tcPr>
            <w:tcW w:w="1515" w:type="pct"/>
            <w:vAlign w:val="center"/>
          </w:tcPr>
          <w:p w14:paraId="1B4D661A" w14:textId="7C3E9F05" w:rsidR="002276DB" w:rsidRPr="004336C4" w:rsidRDefault="002276DB" w:rsidP="002276D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TAK – </w:t>
            </w:r>
            <w:r w:rsidR="003108F6">
              <w:rPr>
                <w:rFonts w:ascii="Aptos" w:hAnsi="Aptos" w:cstheme="majorHAnsi"/>
                <w:szCs w:val="22"/>
              </w:rPr>
              <w:t>5</w:t>
            </w:r>
            <w:r w:rsidRPr="004336C4">
              <w:rPr>
                <w:rFonts w:ascii="Aptos" w:hAnsi="Aptos" w:cstheme="majorHAnsi"/>
                <w:szCs w:val="22"/>
              </w:rPr>
              <w:t xml:space="preserve"> pkt</w:t>
            </w:r>
          </w:p>
          <w:p w14:paraId="75A54241" w14:textId="0352C426" w:rsidR="004950D0" w:rsidRPr="004336C4" w:rsidRDefault="002276DB" w:rsidP="002276D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NIE – 0 pkt</w:t>
            </w:r>
          </w:p>
        </w:tc>
        <w:tc>
          <w:tcPr>
            <w:tcW w:w="1516" w:type="pct"/>
            <w:vAlign w:val="center"/>
          </w:tcPr>
          <w:p w14:paraId="5FEBB2DE" w14:textId="77777777" w:rsidR="004950D0" w:rsidRPr="004336C4" w:rsidRDefault="004950D0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4950D0" w:rsidRPr="004336C4" w14:paraId="01F0BAED" w14:textId="77777777" w:rsidTr="002E60FB">
        <w:trPr>
          <w:jc w:val="center"/>
        </w:trPr>
        <w:tc>
          <w:tcPr>
            <w:tcW w:w="237" w:type="pct"/>
            <w:vAlign w:val="center"/>
          </w:tcPr>
          <w:p w14:paraId="7BC41151" w14:textId="1148B265" w:rsidR="004950D0" w:rsidRPr="004336C4" w:rsidRDefault="004950D0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21. </w:t>
            </w:r>
          </w:p>
        </w:tc>
        <w:tc>
          <w:tcPr>
            <w:tcW w:w="1732" w:type="pct"/>
            <w:vAlign w:val="center"/>
          </w:tcPr>
          <w:p w14:paraId="2BD942B1" w14:textId="3B27751C" w:rsidR="004950D0" w:rsidRPr="004336C4" w:rsidRDefault="004950D0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Komunikacja pomp ze stacją za pośrednictwem wielofunkcyjnego portu RS232.</w:t>
            </w:r>
          </w:p>
        </w:tc>
        <w:tc>
          <w:tcPr>
            <w:tcW w:w="1515" w:type="pct"/>
            <w:vAlign w:val="center"/>
          </w:tcPr>
          <w:p w14:paraId="48E05A4A" w14:textId="7EB6A4AF" w:rsidR="004950D0" w:rsidRPr="004336C4" w:rsidRDefault="005D166B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61F4A87D" w14:textId="77777777" w:rsidR="004950D0" w:rsidRPr="004336C4" w:rsidRDefault="004950D0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5D166B" w:rsidRPr="004336C4" w14:paraId="7F174834" w14:textId="77777777" w:rsidTr="002E60FB">
        <w:trPr>
          <w:jc w:val="center"/>
        </w:trPr>
        <w:tc>
          <w:tcPr>
            <w:tcW w:w="237" w:type="pct"/>
            <w:vAlign w:val="center"/>
          </w:tcPr>
          <w:p w14:paraId="14EC54AB" w14:textId="20281399" w:rsidR="005D166B" w:rsidRPr="004336C4" w:rsidRDefault="005D166B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22.</w:t>
            </w:r>
          </w:p>
        </w:tc>
        <w:tc>
          <w:tcPr>
            <w:tcW w:w="1732" w:type="pct"/>
            <w:vAlign w:val="center"/>
          </w:tcPr>
          <w:p w14:paraId="4978E2E9" w14:textId="472527C5" w:rsidR="005D166B" w:rsidRPr="004336C4" w:rsidRDefault="005D166B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Pompa wyposażona w tryb kroplowy umożliwiający ustawienie prędkości, czasu lub VTBI z automatycznym przeliczeniem pozostałego parametru, w zakresie 1–400 kropli/min.</w:t>
            </w:r>
          </w:p>
        </w:tc>
        <w:tc>
          <w:tcPr>
            <w:tcW w:w="1515" w:type="pct"/>
            <w:vAlign w:val="center"/>
          </w:tcPr>
          <w:p w14:paraId="3DA5E6BA" w14:textId="197F42B3" w:rsidR="005D166B" w:rsidRPr="004336C4" w:rsidRDefault="005D166B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1516" w:type="pct"/>
            <w:vAlign w:val="center"/>
          </w:tcPr>
          <w:p w14:paraId="20913E7F" w14:textId="77777777" w:rsidR="005D166B" w:rsidRPr="004336C4" w:rsidRDefault="005D166B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E87124" w:rsidRPr="004336C4" w14:paraId="1C5064F2" w14:textId="77777777" w:rsidTr="002E60FB">
        <w:trPr>
          <w:trHeight w:val="274"/>
          <w:jc w:val="center"/>
        </w:trPr>
        <w:tc>
          <w:tcPr>
            <w:tcW w:w="237" w:type="pct"/>
            <w:vAlign w:val="center"/>
          </w:tcPr>
          <w:p w14:paraId="394ED556" w14:textId="008BFAF5" w:rsidR="00E87124" w:rsidRPr="004336C4" w:rsidRDefault="00E87124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23.</w:t>
            </w:r>
          </w:p>
        </w:tc>
        <w:tc>
          <w:tcPr>
            <w:tcW w:w="1732" w:type="pct"/>
            <w:vAlign w:val="center"/>
          </w:tcPr>
          <w:p w14:paraId="205B1C36" w14:textId="4B26B2ED" w:rsidR="00E87124" w:rsidRPr="004336C4" w:rsidRDefault="000A4A94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Pompa posiada płynną regulację progu ciśnienia okluzji w jednostkach mm Hg w zakresie min. 50–1100 mm Hg, z możliwością zmiany wartości bezpośrednio z poziomu jednego menu, bez stosowania skokowych poziomów, z prezentacją ciśnienia w czasie rzeczywistym w formie numerycznej i graficznej oraz z funkcją wczesnego </w:t>
            </w:r>
            <w:r w:rsidRPr="004336C4">
              <w:rPr>
                <w:rFonts w:ascii="Aptos" w:hAnsi="Aptos" w:cstheme="majorHAnsi"/>
                <w:szCs w:val="22"/>
              </w:rPr>
              <w:lastRenderedPageBreak/>
              <w:t>ostrzegania o narastającym ciśnieniu przed osiągnięciem progu alarmowego.</w:t>
            </w:r>
          </w:p>
        </w:tc>
        <w:tc>
          <w:tcPr>
            <w:tcW w:w="1515" w:type="pct"/>
            <w:vAlign w:val="center"/>
          </w:tcPr>
          <w:p w14:paraId="62560088" w14:textId="07BB6078" w:rsidR="00E87124" w:rsidRPr="004336C4" w:rsidRDefault="00E87124" w:rsidP="00142244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lastRenderedPageBreak/>
              <w:t>TAK</w:t>
            </w:r>
          </w:p>
        </w:tc>
        <w:tc>
          <w:tcPr>
            <w:tcW w:w="1516" w:type="pct"/>
            <w:vAlign w:val="center"/>
          </w:tcPr>
          <w:p w14:paraId="185F5519" w14:textId="77777777" w:rsidR="00E87124" w:rsidRPr="004336C4" w:rsidRDefault="00E87124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B92F3A" w:rsidRPr="004336C4" w14:paraId="3BB0158E" w14:textId="77777777" w:rsidTr="002E60FB">
        <w:trPr>
          <w:trHeight w:val="274"/>
          <w:jc w:val="center"/>
        </w:trPr>
        <w:tc>
          <w:tcPr>
            <w:tcW w:w="237" w:type="pct"/>
            <w:vAlign w:val="center"/>
          </w:tcPr>
          <w:p w14:paraId="2842E71C" w14:textId="6E2859E7" w:rsidR="00B92F3A" w:rsidRPr="004336C4" w:rsidRDefault="00B92F3A" w:rsidP="00417542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24.</w:t>
            </w:r>
          </w:p>
        </w:tc>
        <w:tc>
          <w:tcPr>
            <w:tcW w:w="1732" w:type="pct"/>
            <w:vAlign w:val="center"/>
          </w:tcPr>
          <w:p w14:paraId="70A02B76" w14:textId="3C56FFF0" w:rsidR="00B92F3A" w:rsidRPr="004336C4" w:rsidRDefault="00B92F3A" w:rsidP="00033C51">
            <w:pPr>
              <w:spacing w:line="276" w:lineRule="auto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Możliwość przyszłej integracji z centralnym systemem monitorowania oraz monitorem pacjenta bez używania dodatkowych modułów integracyjnych.</w:t>
            </w:r>
          </w:p>
          <w:p w14:paraId="3D737E1A" w14:textId="5F5C3D15" w:rsidR="00B92F3A" w:rsidRPr="004336C4" w:rsidRDefault="00B92F3A" w:rsidP="00033C51">
            <w:pPr>
              <w:spacing w:line="276" w:lineRule="auto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Po połączeniu z centralnym systemem monitorowania dostępne funkcje:</w:t>
            </w:r>
          </w:p>
          <w:p w14:paraId="12B98FED" w14:textId="77777777" w:rsidR="00B92F3A" w:rsidRPr="004336C4" w:rsidRDefault="00B92F3A" w:rsidP="00033C51">
            <w:pPr>
              <w:spacing w:line="276" w:lineRule="auto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Przesyłanie do systemu CMS informacji o infuzji, alarmach oraz statusie urządzeń (np. akumulator, urządzenia sieciowe).</w:t>
            </w:r>
          </w:p>
          <w:p w14:paraId="73D340D3" w14:textId="77777777" w:rsidR="00B92F3A" w:rsidRPr="004336C4" w:rsidRDefault="00B92F3A" w:rsidP="00033C51">
            <w:pPr>
              <w:spacing w:line="276" w:lineRule="auto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Synchronizacja informacji o pacjencie między pompą a systemem CMS.</w:t>
            </w:r>
          </w:p>
          <w:p w14:paraId="29A8D90B" w14:textId="0A6AD4AB" w:rsidR="00B92F3A" w:rsidRPr="004336C4" w:rsidRDefault="00B92F3A" w:rsidP="00033C5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Możliwość przyjęcia lub wypisania pacjenta w systemie CMS, z automatycznym przesyłaniem odpowiednich informacji do pompy.</w:t>
            </w:r>
          </w:p>
        </w:tc>
        <w:tc>
          <w:tcPr>
            <w:tcW w:w="1515" w:type="pct"/>
            <w:vAlign w:val="center"/>
          </w:tcPr>
          <w:p w14:paraId="208A6B26" w14:textId="2371F155" w:rsidR="00B92F3A" w:rsidRPr="004336C4" w:rsidRDefault="00B92F3A" w:rsidP="00B92F3A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TAK – </w:t>
            </w:r>
            <w:r w:rsidR="003108F6">
              <w:rPr>
                <w:rFonts w:ascii="Aptos" w:hAnsi="Aptos" w:cstheme="majorHAnsi"/>
                <w:szCs w:val="22"/>
              </w:rPr>
              <w:t>5</w:t>
            </w:r>
            <w:r w:rsidRPr="004336C4">
              <w:rPr>
                <w:rFonts w:ascii="Aptos" w:hAnsi="Aptos" w:cstheme="majorHAnsi"/>
                <w:szCs w:val="22"/>
              </w:rPr>
              <w:t xml:space="preserve"> pkt</w:t>
            </w:r>
          </w:p>
          <w:p w14:paraId="4D9B337E" w14:textId="793D6446" w:rsidR="00B92F3A" w:rsidRPr="004336C4" w:rsidRDefault="00B92F3A" w:rsidP="00B92F3A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NIE – 0 pkt</w:t>
            </w:r>
          </w:p>
        </w:tc>
        <w:tc>
          <w:tcPr>
            <w:tcW w:w="1516" w:type="pct"/>
            <w:vAlign w:val="center"/>
          </w:tcPr>
          <w:p w14:paraId="561340F7" w14:textId="77777777" w:rsidR="00B92F3A" w:rsidRPr="004336C4" w:rsidRDefault="00B92F3A" w:rsidP="00417542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</w:tbl>
    <w:p w14:paraId="427CF792" w14:textId="77777777" w:rsidR="006A431E" w:rsidRPr="004336C4" w:rsidRDefault="006A431E" w:rsidP="00841B6C">
      <w:pPr>
        <w:rPr>
          <w:rFonts w:ascii="Aptos" w:hAnsi="Aptos" w:cstheme="majorHAnsi"/>
          <w:sz w:val="22"/>
          <w:szCs w:val="22"/>
        </w:rPr>
      </w:pPr>
    </w:p>
    <w:p w14:paraId="4E5ADA6A" w14:textId="77777777" w:rsidR="00DD5A39" w:rsidRPr="004336C4" w:rsidRDefault="00DD5A39" w:rsidP="00841B6C">
      <w:pPr>
        <w:rPr>
          <w:rFonts w:ascii="Aptos" w:hAnsi="Aptos" w:cstheme="majorHAnsi"/>
          <w:sz w:val="22"/>
          <w:szCs w:val="22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89"/>
        <w:gridCol w:w="5044"/>
        <w:gridCol w:w="4412"/>
        <w:gridCol w:w="4415"/>
      </w:tblGrid>
      <w:tr w:rsidR="00D72DE1" w:rsidRPr="004336C4" w14:paraId="766C46B4" w14:textId="77777777" w:rsidTr="002E60FB">
        <w:trPr>
          <w:trHeight w:val="274"/>
          <w:jc w:val="center"/>
        </w:trPr>
        <w:tc>
          <w:tcPr>
            <w:tcW w:w="5000" w:type="pct"/>
            <w:gridSpan w:val="4"/>
            <w:vAlign w:val="center"/>
          </w:tcPr>
          <w:p w14:paraId="34D55009" w14:textId="06E9FC6C" w:rsidR="00D72DE1" w:rsidRPr="004336C4" w:rsidRDefault="00D72DE1" w:rsidP="00D72DE1">
            <w:pPr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Gwarancja</w:t>
            </w:r>
          </w:p>
        </w:tc>
      </w:tr>
      <w:tr w:rsidR="00D72DE1" w:rsidRPr="004336C4" w14:paraId="22B56D26" w14:textId="77777777" w:rsidTr="002E60FB">
        <w:trPr>
          <w:trHeight w:val="274"/>
          <w:jc w:val="center"/>
        </w:trPr>
        <w:tc>
          <w:tcPr>
            <w:tcW w:w="237" w:type="pct"/>
            <w:vAlign w:val="center"/>
          </w:tcPr>
          <w:p w14:paraId="045D7FD9" w14:textId="34E22483" w:rsidR="00D72DE1" w:rsidRPr="004336C4" w:rsidRDefault="00D72DE1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1.</w:t>
            </w:r>
          </w:p>
        </w:tc>
        <w:tc>
          <w:tcPr>
            <w:tcW w:w="1732" w:type="pct"/>
            <w:vAlign w:val="center"/>
          </w:tcPr>
          <w:p w14:paraId="11FE4CE3" w14:textId="0CBFDA18" w:rsidR="00D72DE1" w:rsidRPr="004336C4" w:rsidRDefault="005C0274" w:rsidP="00F4657B">
            <w:pPr>
              <w:jc w:val="both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Wykonawca udzieli Zamawiającemu gwarancji jakości na cały przedmiot zamówienia na okres minimum 24 miesięcy, licząc od dnia podpisania protokołu odbioru końcowego bez zastrzeżeń </w:t>
            </w:r>
          </w:p>
        </w:tc>
        <w:tc>
          <w:tcPr>
            <w:tcW w:w="1515" w:type="pct"/>
            <w:vAlign w:val="center"/>
          </w:tcPr>
          <w:p w14:paraId="159B0FA8" w14:textId="77777777" w:rsidR="00D72DE1" w:rsidRPr="004336C4" w:rsidRDefault="005C0274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TAK (proszę podać oferowaną długość gwarancji)</w:t>
            </w:r>
          </w:p>
          <w:p w14:paraId="6350C64B" w14:textId="5CB64844" w:rsidR="005C0274" w:rsidRPr="004336C4" w:rsidRDefault="005C0274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24 miesiące – 0 pkt.</w:t>
            </w:r>
          </w:p>
          <w:p w14:paraId="28EE0E45" w14:textId="4A40FD34" w:rsidR="005C0274" w:rsidRPr="004336C4" w:rsidRDefault="005C0274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36 miesięcy – 5 pkt.</w:t>
            </w:r>
          </w:p>
          <w:p w14:paraId="63D86044" w14:textId="557A6ECD" w:rsidR="005C0274" w:rsidRPr="004336C4" w:rsidRDefault="005C0274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48 miesięcy – 10 pkt.</w:t>
            </w:r>
          </w:p>
        </w:tc>
        <w:tc>
          <w:tcPr>
            <w:tcW w:w="1516" w:type="pct"/>
            <w:vAlign w:val="center"/>
          </w:tcPr>
          <w:p w14:paraId="7EF1F0F2" w14:textId="77777777" w:rsidR="00D72DE1" w:rsidRPr="004336C4" w:rsidRDefault="00D72DE1" w:rsidP="00F4657B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5A40CF" w:rsidRPr="004336C4" w14:paraId="4CA0AAE9" w14:textId="77777777" w:rsidTr="002E60FB">
        <w:trPr>
          <w:trHeight w:val="274"/>
          <w:jc w:val="center"/>
        </w:trPr>
        <w:tc>
          <w:tcPr>
            <w:tcW w:w="237" w:type="pct"/>
            <w:vAlign w:val="center"/>
          </w:tcPr>
          <w:p w14:paraId="0B1DDD38" w14:textId="1D0C4F1F" w:rsidR="005A40CF" w:rsidRPr="004336C4" w:rsidRDefault="005A40CF" w:rsidP="005A40CF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2.</w:t>
            </w:r>
          </w:p>
        </w:tc>
        <w:tc>
          <w:tcPr>
            <w:tcW w:w="1732" w:type="pct"/>
            <w:vAlign w:val="center"/>
          </w:tcPr>
          <w:p w14:paraId="13BC76B4" w14:textId="0D8F434E" w:rsidR="005A40CF" w:rsidRPr="004336C4" w:rsidRDefault="005A40CF" w:rsidP="005A40CF">
            <w:pPr>
              <w:jc w:val="both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Czas reakcji serwisu (rozpoczęcia działań serwisowych po zgłoszeniu awarii)</w:t>
            </w:r>
          </w:p>
        </w:tc>
        <w:tc>
          <w:tcPr>
            <w:tcW w:w="1515" w:type="pct"/>
            <w:vAlign w:val="center"/>
          </w:tcPr>
          <w:p w14:paraId="17D09F81" w14:textId="3983CEDD" w:rsidR="00F37007" w:rsidRDefault="00F37007" w:rsidP="00F3700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>do 8 h roboczych – 5 pkt.</w:t>
            </w:r>
          </w:p>
          <w:p w14:paraId="40228433" w14:textId="5B16E15D" w:rsidR="005A40CF" w:rsidRPr="003108F6" w:rsidRDefault="00F37007" w:rsidP="00F37007">
            <w:pPr>
              <w:jc w:val="center"/>
              <w:rPr>
                <w:rFonts w:ascii="Aptos" w:hAnsi="Aptos"/>
                <w:szCs w:val="22"/>
              </w:rPr>
            </w:pPr>
            <w:r>
              <w:rPr>
                <w:rFonts w:ascii="Aptos" w:hAnsi="Aptos"/>
                <w:szCs w:val="22"/>
              </w:rPr>
              <w:t xml:space="preserve">powyżej 8h </w:t>
            </w:r>
            <w:r w:rsidR="005A40CF">
              <w:rPr>
                <w:rFonts w:ascii="Aptos" w:hAnsi="Aptos"/>
                <w:szCs w:val="22"/>
              </w:rPr>
              <w:t>do 16 h roboczych – 0 pkt.</w:t>
            </w:r>
          </w:p>
        </w:tc>
        <w:tc>
          <w:tcPr>
            <w:tcW w:w="1516" w:type="pct"/>
            <w:vAlign w:val="center"/>
          </w:tcPr>
          <w:p w14:paraId="073663D6" w14:textId="77777777" w:rsidR="005A40CF" w:rsidRPr="004336C4" w:rsidRDefault="005A40CF" w:rsidP="005A40CF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  <w:tr w:rsidR="00D72DE1" w:rsidRPr="004336C4" w14:paraId="656DFA33" w14:textId="77777777" w:rsidTr="002E60FB">
        <w:trPr>
          <w:trHeight w:val="274"/>
          <w:jc w:val="center"/>
        </w:trPr>
        <w:tc>
          <w:tcPr>
            <w:tcW w:w="237" w:type="pct"/>
            <w:vAlign w:val="center"/>
          </w:tcPr>
          <w:p w14:paraId="2A2CF576" w14:textId="599FE20A" w:rsidR="00D72DE1" w:rsidRPr="004336C4" w:rsidRDefault="00D72DE1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>3.</w:t>
            </w:r>
          </w:p>
        </w:tc>
        <w:tc>
          <w:tcPr>
            <w:tcW w:w="1732" w:type="pct"/>
            <w:vAlign w:val="center"/>
          </w:tcPr>
          <w:p w14:paraId="19D1860A" w14:textId="1685B2C7" w:rsidR="00D72DE1" w:rsidRPr="004336C4" w:rsidRDefault="005C0274" w:rsidP="00F4657B">
            <w:pPr>
              <w:jc w:val="both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t xml:space="preserve">W ramach udzielonej gwarancji, Wykonawca zobowiązany jest do wykonania, na własny koszt, wszystkich przeglądów technicznych, konserwacji, kalibracji i innych czynności serwisowych, które są wymagane i przewidziane przez producenta w okresie na jaki udzielana jest gwarancja. Wykonanie </w:t>
            </w:r>
            <w:r w:rsidRPr="004336C4">
              <w:rPr>
                <w:rFonts w:ascii="Aptos" w:hAnsi="Aptos" w:cstheme="majorHAnsi"/>
                <w:szCs w:val="22"/>
              </w:rPr>
              <w:lastRenderedPageBreak/>
              <w:t>tych czynności musi być zgodne z dokumentacją techniczną i zaleceniami producenta</w:t>
            </w:r>
          </w:p>
        </w:tc>
        <w:tc>
          <w:tcPr>
            <w:tcW w:w="1515" w:type="pct"/>
            <w:vAlign w:val="center"/>
          </w:tcPr>
          <w:p w14:paraId="160FDCC4" w14:textId="1E044B23" w:rsidR="00D72DE1" w:rsidRPr="004336C4" w:rsidRDefault="005C0274" w:rsidP="00F4657B">
            <w:pPr>
              <w:jc w:val="center"/>
              <w:rPr>
                <w:rFonts w:ascii="Aptos" w:hAnsi="Aptos" w:cstheme="majorHAnsi"/>
                <w:szCs w:val="22"/>
              </w:rPr>
            </w:pPr>
            <w:r w:rsidRPr="004336C4">
              <w:rPr>
                <w:rFonts w:ascii="Aptos" w:hAnsi="Aptos" w:cstheme="majorHAnsi"/>
                <w:szCs w:val="22"/>
              </w:rPr>
              <w:lastRenderedPageBreak/>
              <w:t>TAK</w:t>
            </w:r>
          </w:p>
        </w:tc>
        <w:tc>
          <w:tcPr>
            <w:tcW w:w="1516" w:type="pct"/>
            <w:vAlign w:val="center"/>
          </w:tcPr>
          <w:p w14:paraId="79950857" w14:textId="77777777" w:rsidR="00D72DE1" w:rsidRPr="004336C4" w:rsidRDefault="00D72DE1" w:rsidP="00F4657B">
            <w:pPr>
              <w:jc w:val="center"/>
              <w:rPr>
                <w:rFonts w:ascii="Aptos" w:hAnsi="Aptos" w:cstheme="majorHAnsi"/>
                <w:szCs w:val="22"/>
              </w:rPr>
            </w:pPr>
          </w:p>
        </w:tc>
      </w:tr>
    </w:tbl>
    <w:p w14:paraId="23266DE8" w14:textId="2ABC7299" w:rsidR="000649B2" w:rsidRDefault="000649B2" w:rsidP="00841B6C">
      <w:pPr>
        <w:contextualSpacing/>
        <w:rPr>
          <w:rFonts w:ascii="Aptos" w:hAnsi="Aptos" w:cstheme="majorHAnsi"/>
          <w:sz w:val="22"/>
          <w:szCs w:val="22"/>
        </w:rPr>
      </w:pPr>
    </w:p>
    <w:p w14:paraId="07B403F2" w14:textId="77777777" w:rsidR="00F51371" w:rsidRDefault="00F51371" w:rsidP="00841B6C">
      <w:pPr>
        <w:contextualSpacing/>
        <w:rPr>
          <w:rFonts w:ascii="Aptos" w:hAnsi="Aptos" w:cstheme="majorHAnsi"/>
          <w:sz w:val="22"/>
          <w:szCs w:val="22"/>
        </w:rPr>
      </w:pPr>
    </w:p>
    <w:p w14:paraId="01619DA4" w14:textId="77777777" w:rsidR="001A3243" w:rsidRDefault="001A3243" w:rsidP="00841B6C">
      <w:pPr>
        <w:contextualSpacing/>
        <w:rPr>
          <w:rFonts w:ascii="Aptos" w:hAnsi="Aptos" w:cstheme="majorHAnsi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86"/>
        <w:gridCol w:w="10390"/>
        <w:gridCol w:w="1741"/>
        <w:gridCol w:w="1843"/>
      </w:tblGrid>
      <w:tr w:rsidR="001A3243" w:rsidRPr="001A3243" w14:paraId="3624BF83" w14:textId="77777777" w:rsidTr="002E60FB">
        <w:tc>
          <w:tcPr>
            <w:tcW w:w="201" w:type="pct"/>
            <w:hideMark/>
          </w:tcPr>
          <w:p w14:paraId="0B912AF3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L.p.</w:t>
            </w:r>
          </w:p>
        </w:tc>
        <w:tc>
          <w:tcPr>
            <w:tcW w:w="3568" w:type="pct"/>
            <w:hideMark/>
          </w:tcPr>
          <w:p w14:paraId="5B2958C9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OPIS</w:t>
            </w:r>
          </w:p>
        </w:tc>
        <w:tc>
          <w:tcPr>
            <w:tcW w:w="598" w:type="pct"/>
            <w:hideMark/>
          </w:tcPr>
          <w:p w14:paraId="5C3FECD0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PARAMETR WYMAGANY</w:t>
            </w:r>
          </w:p>
        </w:tc>
        <w:tc>
          <w:tcPr>
            <w:tcW w:w="633" w:type="pct"/>
            <w:hideMark/>
          </w:tcPr>
          <w:p w14:paraId="1B6CC094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PARAMETR OFEROWANY</w:t>
            </w:r>
          </w:p>
        </w:tc>
      </w:tr>
      <w:tr w:rsidR="001A3243" w:rsidRPr="001A3243" w14:paraId="70529487" w14:textId="77777777" w:rsidTr="002E60FB">
        <w:tc>
          <w:tcPr>
            <w:tcW w:w="201" w:type="pct"/>
          </w:tcPr>
          <w:p w14:paraId="1853D78B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b/>
                <w:bCs/>
                <w:szCs w:val="22"/>
              </w:rPr>
            </w:pPr>
          </w:p>
        </w:tc>
        <w:tc>
          <w:tcPr>
            <w:tcW w:w="4799" w:type="pct"/>
            <w:gridSpan w:val="3"/>
          </w:tcPr>
          <w:p w14:paraId="4122D502" w14:textId="6995C477" w:rsidR="001A3243" w:rsidRPr="001A3243" w:rsidRDefault="001A3243" w:rsidP="001A3243">
            <w:pPr>
              <w:contextualSpacing/>
              <w:rPr>
                <w:rFonts w:ascii="Aptos" w:hAnsi="Aptos" w:cstheme="majorHAnsi"/>
                <w:b/>
                <w:bCs/>
                <w:szCs w:val="22"/>
              </w:rPr>
            </w:pPr>
            <w:r>
              <w:rPr>
                <w:rFonts w:ascii="Aptos" w:hAnsi="Aptos" w:cstheme="majorHAnsi"/>
                <w:b/>
                <w:bCs/>
                <w:szCs w:val="22"/>
              </w:rPr>
              <w:t>DNSH</w:t>
            </w:r>
          </w:p>
        </w:tc>
      </w:tr>
      <w:tr w:rsidR="001A3243" w:rsidRPr="001A3243" w14:paraId="7B34599A" w14:textId="77777777" w:rsidTr="002E60FB">
        <w:tc>
          <w:tcPr>
            <w:tcW w:w="201" w:type="pct"/>
            <w:hideMark/>
          </w:tcPr>
          <w:p w14:paraId="3AD3E4F3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1.</w:t>
            </w:r>
          </w:p>
        </w:tc>
        <w:tc>
          <w:tcPr>
            <w:tcW w:w="3568" w:type="pct"/>
            <w:hideMark/>
          </w:tcPr>
          <w:p w14:paraId="6E030861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 xml:space="preserve">Zgodność z dyrektywą </w:t>
            </w:r>
            <w:proofErr w:type="spellStart"/>
            <w:r w:rsidRPr="001A3243">
              <w:rPr>
                <w:rFonts w:ascii="Aptos" w:hAnsi="Aptos" w:cstheme="majorHAnsi"/>
                <w:b/>
                <w:bCs/>
                <w:szCs w:val="22"/>
              </w:rPr>
              <w:t>RoHS</w:t>
            </w:r>
            <w:proofErr w:type="spellEnd"/>
            <w:r w:rsidRPr="001A3243">
              <w:rPr>
                <w:rFonts w:ascii="Aptos" w:hAnsi="Aptos" w:cstheme="majorHAnsi"/>
                <w:b/>
                <w:bCs/>
                <w:szCs w:val="22"/>
              </w:rPr>
              <w:t>:</w:t>
            </w:r>
            <w:r w:rsidRPr="001A3243">
              <w:rPr>
                <w:rFonts w:ascii="Aptos" w:hAnsi="Aptos" w:cstheme="majorHAnsi"/>
                <w:szCs w:val="22"/>
              </w:rPr>
              <w:t xml:space="preserve"> Oferowane urządzenia medyczne nie zawierają ołowiu, rtęci, kadmu, sześciowartościowego chromu, polibromowanych </w:t>
            </w:r>
            <w:proofErr w:type="spellStart"/>
            <w:r w:rsidRPr="001A3243">
              <w:rPr>
                <w:rFonts w:ascii="Aptos" w:hAnsi="Aptos" w:cstheme="majorHAnsi"/>
                <w:szCs w:val="22"/>
              </w:rPr>
              <w:t>bifenyli</w:t>
            </w:r>
            <w:proofErr w:type="spellEnd"/>
            <w:r w:rsidRPr="001A3243">
              <w:rPr>
                <w:rFonts w:ascii="Aptos" w:hAnsi="Aptos" w:cstheme="majorHAnsi"/>
                <w:szCs w:val="22"/>
              </w:rPr>
              <w:t xml:space="preserve"> (PBB) ani polibromowanych eterów </w:t>
            </w:r>
            <w:proofErr w:type="spellStart"/>
            <w:r w:rsidRPr="001A3243">
              <w:rPr>
                <w:rFonts w:ascii="Aptos" w:hAnsi="Aptos" w:cstheme="majorHAnsi"/>
                <w:szCs w:val="22"/>
              </w:rPr>
              <w:t>difenylowych</w:t>
            </w:r>
            <w:proofErr w:type="spellEnd"/>
            <w:r w:rsidRPr="001A3243">
              <w:rPr>
                <w:rFonts w:ascii="Aptos" w:hAnsi="Aptos" w:cstheme="majorHAnsi"/>
                <w:szCs w:val="22"/>
              </w:rPr>
              <w:t xml:space="preserve"> (PBDE) w stężeniach przekraczających dopuszczalne normy określone w dyrektywie 2011/65/UE. Wykonawca na żądanie Zamawiającego przedstawi stosowną Deklarację Zgodności CE.</w:t>
            </w:r>
          </w:p>
        </w:tc>
        <w:tc>
          <w:tcPr>
            <w:tcW w:w="598" w:type="pct"/>
            <w:hideMark/>
          </w:tcPr>
          <w:p w14:paraId="056563BC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1DAFC564" w14:textId="3D079B1A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45DC0DF3" w14:textId="77777777" w:rsidTr="002E60FB">
        <w:tc>
          <w:tcPr>
            <w:tcW w:w="201" w:type="pct"/>
            <w:hideMark/>
          </w:tcPr>
          <w:p w14:paraId="225E65B4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2.</w:t>
            </w:r>
          </w:p>
        </w:tc>
        <w:tc>
          <w:tcPr>
            <w:tcW w:w="3568" w:type="pct"/>
            <w:hideMark/>
          </w:tcPr>
          <w:p w14:paraId="1A706E81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Gospodarka o obiegu zamkniętym (WEEE) - Konstrukcja:</w:t>
            </w:r>
            <w:r w:rsidRPr="001A3243">
              <w:rPr>
                <w:rFonts w:ascii="Aptos" w:hAnsi="Aptos" w:cstheme="majorHAnsi"/>
                <w:szCs w:val="22"/>
              </w:rPr>
              <w:t xml:space="preserve"> Urządzenia są zaprojektowane w sposób umożliwiający ich łatwy demontaż, naprawę i recykling po zakończeniu cyklu życia.</w:t>
            </w:r>
          </w:p>
        </w:tc>
        <w:tc>
          <w:tcPr>
            <w:tcW w:w="598" w:type="pct"/>
            <w:hideMark/>
          </w:tcPr>
          <w:p w14:paraId="664C029C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0D0CF9E9" w14:textId="67D60524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02A66450" w14:textId="77777777" w:rsidTr="002E60FB">
        <w:tc>
          <w:tcPr>
            <w:tcW w:w="201" w:type="pct"/>
            <w:hideMark/>
          </w:tcPr>
          <w:p w14:paraId="261006DC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3.</w:t>
            </w:r>
          </w:p>
        </w:tc>
        <w:tc>
          <w:tcPr>
            <w:tcW w:w="3568" w:type="pct"/>
            <w:hideMark/>
          </w:tcPr>
          <w:p w14:paraId="4FE3E8C2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Gospodarka o obiegu zamkniętym - Części zamienne:</w:t>
            </w:r>
            <w:r w:rsidRPr="001A3243">
              <w:rPr>
                <w:rFonts w:ascii="Aptos" w:hAnsi="Aptos" w:cstheme="majorHAnsi"/>
                <w:szCs w:val="22"/>
              </w:rPr>
              <w:t xml:space="preserve"> Wykonawca gwarantuje dostępność części zamiennych (w tym w szczególności wymiennych modułów zasilających/akumulatorów dla pomp) przez okres minimum 10 lat od daty wyprodukowania sprzętu.</w:t>
            </w:r>
          </w:p>
        </w:tc>
        <w:tc>
          <w:tcPr>
            <w:tcW w:w="598" w:type="pct"/>
            <w:hideMark/>
          </w:tcPr>
          <w:p w14:paraId="75653536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46B7578C" w14:textId="189027F9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2BDC1460" w14:textId="77777777" w:rsidTr="002E60FB">
        <w:tc>
          <w:tcPr>
            <w:tcW w:w="201" w:type="pct"/>
            <w:hideMark/>
          </w:tcPr>
          <w:p w14:paraId="44630B5B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4.</w:t>
            </w:r>
          </w:p>
        </w:tc>
        <w:tc>
          <w:tcPr>
            <w:tcW w:w="3568" w:type="pct"/>
            <w:hideMark/>
          </w:tcPr>
          <w:p w14:paraId="26B7880A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Technologia zasilania:</w:t>
            </w:r>
            <w:r w:rsidRPr="001A3243">
              <w:rPr>
                <w:rFonts w:ascii="Aptos" w:hAnsi="Aptos" w:cstheme="majorHAnsi"/>
                <w:szCs w:val="22"/>
              </w:rPr>
              <w:t xml:space="preserve"> Akumulatory zastosowane w pompach są wolne od efektu pamięci (np. </w:t>
            </w:r>
            <w:proofErr w:type="spellStart"/>
            <w:r w:rsidRPr="001A3243">
              <w:rPr>
                <w:rFonts w:ascii="Aptos" w:hAnsi="Aptos" w:cstheme="majorHAnsi"/>
                <w:szCs w:val="22"/>
              </w:rPr>
              <w:t>litowo</w:t>
            </w:r>
            <w:proofErr w:type="spellEnd"/>
            <w:r w:rsidRPr="001A3243">
              <w:rPr>
                <w:rFonts w:ascii="Aptos" w:hAnsi="Aptos" w:cstheme="majorHAnsi"/>
                <w:szCs w:val="22"/>
              </w:rPr>
              <w:t>-jonowe) i zaprojektowane z myślą o maksymalizacji cykli ładowania/rozładowania.</w:t>
            </w:r>
          </w:p>
        </w:tc>
        <w:tc>
          <w:tcPr>
            <w:tcW w:w="598" w:type="pct"/>
            <w:hideMark/>
          </w:tcPr>
          <w:p w14:paraId="69EABA47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6CF91D0B" w14:textId="6D5A328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7A266214" w14:textId="77777777" w:rsidTr="002E60FB">
        <w:tc>
          <w:tcPr>
            <w:tcW w:w="201" w:type="pct"/>
            <w:hideMark/>
          </w:tcPr>
          <w:p w14:paraId="35067793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5.</w:t>
            </w:r>
          </w:p>
        </w:tc>
        <w:tc>
          <w:tcPr>
            <w:tcW w:w="3568" w:type="pct"/>
            <w:hideMark/>
          </w:tcPr>
          <w:p w14:paraId="54260DEE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Brak substancji szkodliwych (REACH):</w:t>
            </w:r>
            <w:r w:rsidRPr="001A3243">
              <w:rPr>
                <w:rFonts w:ascii="Aptos" w:hAnsi="Aptos" w:cstheme="majorHAnsi"/>
                <w:szCs w:val="22"/>
              </w:rPr>
              <w:t xml:space="preserve"> Materiały z tworzyw sztucznych użyte do budowy obudów pomp oraz paneli sterujących nie zawierają substancji wzbudzających szczególnie duże obawy (SVHC) z listy kandydackiej rozporządzenia REACH, w tym </w:t>
            </w:r>
            <w:proofErr w:type="spellStart"/>
            <w:r w:rsidRPr="001A3243">
              <w:rPr>
                <w:rFonts w:ascii="Aptos" w:hAnsi="Aptos" w:cstheme="majorHAnsi"/>
                <w:szCs w:val="22"/>
              </w:rPr>
              <w:t>ftalanów</w:t>
            </w:r>
            <w:proofErr w:type="spellEnd"/>
            <w:r w:rsidRPr="001A3243">
              <w:rPr>
                <w:rFonts w:ascii="Aptos" w:hAnsi="Aptos" w:cstheme="majorHAnsi"/>
                <w:szCs w:val="22"/>
              </w:rPr>
              <w:t xml:space="preserve"> (np. DEHP) czy </w:t>
            </w:r>
            <w:proofErr w:type="spellStart"/>
            <w:r w:rsidRPr="001A3243">
              <w:rPr>
                <w:rFonts w:ascii="Aptos" w:hAnsi="Aptos" w:cstheme="majorHAnsi"/>
                <w:szCs w:val="22"/>
              </w:rPr>
              <w:t>bisfenolu</w:t>
            </w:r>
            <w:proofErr w:type="spellEnd"/>
            <w:r w:rsidRPr="001A3243">
              <w:rPr>
                <w:rFonts w:ascii="Aptos" w:hAnsi="Aptos" w:cstheme="majorHAnsi"/>
                <w:szCs w:val="22"/>
              </w:rPr>
              <w:t xml:space="preserve"> A (BPA).</w:t>
            </w:r>
          </w:p>
        </w:tc>
        <w:tc>
          <w:tcPr>
            <w:tcW w:w="598" w:type="pct"/>
            <w:hideMark/>
          </w:tcPr>
          <w:p w14:paraId="52F140E5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0C537E71" w14:textId="3851524A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28156408" w14:textId="77777777" w:rsidTr="002E60FB">
        <w:tc>
          <w:tcPr>
            <w:tcW w:w="201" w:type="pct"/>
            <w:hideMark/>
          </w:tcPr>
          <w:p w14:paraId="2D8D9FD7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6.</w:t>
            </w:r>
          </w:p>
        </w:tc>
        <w:tc>
          <w:tcPr>
            <w:tcW w:w="3568" w:type="pct"/>
            <w:hideMark/>
          </w:tcPr>
          <w:p w14:paraId="2D39B746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Efektywność energetyczna:</w:t>
            </w:r>
            <w:r w:rsidRPr="001A3243">
              <w:rPr>
                <w:rFonts w:ascii="Aptos" w:hAnsi="Aptos" w:cstheme="majorHAnsi"/>
                <w:szCs w:val="22"/>
              </w:rPr>
              <w:t xml:space="preserve"> Sprzęt charakteryzuje się wysoką efektywnością energetyczną (urządzenie posiada tryb czuwania/stand-by o niskim poborze mocy).</w:t>
            </w:r>
          </w:p>
        </w:tc>
        <w:tc>
          <w:tcPr>
            <w:tcW w:w="598" w:type="pct"/>
            <w:hideMark/>
          </w:tcPr>
          <w:p w14:paraId="1A38CCCD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10159C2F" w14:textId="22CEB46E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  <w:tr w:rsidR="001A3243" w:rsidRPr="001A3243" w14:paraId="518468AE" w14:textId="77777777" w:rsidTr="002E60FB">
        <w:tc>
          <w:tcPr>
            <w:tcW w:w="201" w:type="pct"/>
            <w:hideMark/>
          </w:tcPr>
          <w:p w14:paraId="57AB6025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7.</w:t>
            </w:r>
          </w:p>
        </w:tc>
        <w:tc>
          <w:tcPr>
            <w:tcW w:w="3568" w:type="pct"/>
            <w:hideMark/>
          </w:tcPr>
          <w:p w14:paraId="64945217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b/>
                <w:bCs/>
                <w:szCs w:val="22"/>
              </w:rPr>
              <w:t>Zrównoważone opakowania:</w:t>
            </w:r>
            <w:r w:rsidRPr="001A3243">
              <w:rPr>
                <w:rFonts w:ascii="Aptos" w:hAnsi="Aptos" w:cstheme="majorHAnsi"/>
                <w:szCs w:val="22"/>
              </w:rPr>
              <w:t xml:space="preserve"> Opakowania transportowe urządzeń są wykonane w co najmniej 80% z materiałów pochodzących z recyklingu i w 100% nadają się do ponownego przetworzenia (tektura, zminimalizowana ilość folii i wypełniaczy EPS).</w:t>
            </w:r>
          </w:p>
        </w:tc>
        <w:tc>
          <w:tcPr>
            <w:tcW w:w="598" w:type="pct"/>
            <w:hideMark/>
          </w:tcPr>
          <w:p w14:paraId="291E36B7" w14:textId="77777777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  <w:r w:rsidRPr="001A3243">
              <w:rPr>
                <w:rFonts w:ascii="Aptos" w:hAnsi="Aptos" w:cstheme="majorHAnsi"/>
                <w:szCs w:val="22"/>
              </w:rPr>
              <w:t>TAK</w:t>
            </w:r>
          </w:p>
        </w:tc>
        <w:tc>
          <w:tcPr>
            <w:tcW w:w="633" w:type="pct"/>
          </w:tcPr>
          <w:p w14:paraId="0725D5B6" w14:textId="6EECA7BD" w:rsidR="001A3243" w:rsidRPr="001A3243" w:rsidRDefault="001A3243" w:rsidP="001A3243">
            <w:pPr>
              <w:contextualSpacing/>
              <w:rPr>
                <w:rFonts w:ascii="Aptos" w:hAnsi="Aptos" w:cstheme="majorHAnsi"/>
                <w:szCs w:val="22"/>
              </w:rPr>
            </w:pPr>
          </w:p>
        </w:tc>
      </w:tr>
    </w:tbl>
    <w:p w14:paraId="46CE52FE" w14:textId="77777777" w:rsidR="001A3243" w:rsidRPr="004336C4" w:rsidRDefault="001A3243" w:rsidP="00841B6C">
      <w:pPr>
        <w:contextualSpacing/>
        <w:rPr>
          <w:rFonts w:ascii="Aptos" w:hAnsi="Aptos" w:cstheme="majorHAnsi"/>
          <w:sz w:val="22"/>
          <w:szCs w:val="22"/>
        </w:rPr>
      </w:pPr>
    </w:p>
    <w:sectPr w:rsidR="001A3243" w:rsidRPr="004336C4" w:rsidSect="00D827AC">
      <w:footerReference w:type="default" r:id="rId10"/>
      <w:headerReference w:type="first" r:id="rId11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3FA30" w14:textId="77777777" w:rsidR="007E0595" w:rsidRDefault="007E0595" w:rsidP="00655CBD">
      <w:r>
        <w:separator/>
      </w:r>
    </w:p>
  </w:endnote>
  <w:endnote w:type="continuationSeparator" w:id="0">
    <w:p w14:paraId="3F3BD00E" w14:textId="77777777" w:rsidR="007E0595" w:rsidRDefault="007E0595" w:rsidP="00655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HAnsi"/>
        <w:lang w:val="pl-PL"/>
      </w:rPr>
      <w:id w:val="730046664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0DB76789" w14:textId="77777777" w:rsidR="005D5182" w:rsidRPr="00FC50E6" w:rsidRDefault="005D5182">
        <w:pPr>
          <w:pStyle w:val="Stopka"/>
          <w:jc w:val="right"/>
          <w:rPr>
            <w:rFonts w:asciiTheme="majorHAnsi" w:eastAsiaTheme="majorEastAsia" w:hAnsiTheme="majorHAnsi" w:cstheme="majorHAnsi"/>
          </w:rPr>
        </w:pPr>
        <w:r w:rsidRPr="00FC50E6">
          <w:rPr>
            <w:rFonts w:asciiTheme="majorHAnsi" w:eastAsiaTheme="majorEastAsia" w:hAnsiTheme="majorHAnsi" w:cstheme="majorHAnsi"/>
            <w:lang w:val="pl-PL"/>
          </w:rPr>
          <w:t xml:space="preserve">str. </w:t>
        </w:r>
        <w:r w:rsidRPr="00FC50E6">
          <w:rPr>
            <w:rFonts w:asciiTheme="majorHAnsi" w:eastAsiaTheme="minorEastAsia" w:hAnsiTheme="majorHAnsi" w:cstheme="majorHAnsi"/>
          </w:rPr>
          <w:fldChar w:fldCharType="begin"/>
        </w:r>
        <w:r w:rsidRPr="00FC50E6">
          <w:rPr>
            <w:rFonts w:asciiTheme="majorHAnsi" w:hAnsiTheme="majorHAnsi" w:cstheme="majorHAnsi"/>
          </w:rPr>
          <w:instrText>PAGE    \* MERGEFORMAT</w:instrText>
        </w:r>
        <w:r w:rsidRPr="00FC50E6">
          <w:rPr>
            <w:rFonts w:asciiTheme="majorHAnsi" w:eastAsiaTheme="minorEastAsia" w:hAnsiTheme="majorHAnsi" w:cstheme="majorHAnsi"/>
          </w:rPr>
          <w:fldChar w:fldCharType="separate"/>
        </w:r>
        <w:r w:rsidR="00DD5A39" w:rsidRPr="00DD5A39">
          <w:rPr>
            <w:rFonts w:asciiTheme="majorHAnsi" w:eastAsiaTheme="majorEastAsia" w:hAnsiTheme="majorHAnsi" w:cstheme="majorHAnsi"/>
            <w:noProof/>
            <w:lang w:val="pl-PL"/>
          </w:rPr>
          <w:t>2</w:t>
        </w:r>
        <w:r w:rsidRPr="00FC50E6">
          <w:rPr>
            <w:rFonts w:asciiTheme="majorHAnsi" w:eastAsiaTheme="majorEastAsia" w:hAnsiTheme="majorHAnsi" w:cstheme="majorHAnsi"/>
          </w:rPr>
          <w:fldChar w:fldCharType="end"/>
        </w:r>
      </w:p>
    </w:sdtContent>
  </w:sdt>
  <w:p w14:paraId="500BBCDF" w14:textId="77777777" w:rsidR="005D5182" w:rsidRDefault="005D51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3132" w14:textId="77777777" w:rsidR="007E0595" w:rsidRDefault="007E0595" w:rsidP="00655CBD">
      <w:r>
        <w:separator/>
      </w:r>
    </w:p>
  </w:footnote>
  <w:footnote w:type="continuationSeparator" w:id="0">
    <w:p w14:paraId="22C3EA97" w14:textId="77777777" w:rsidR="007E0595" w:rsidRDefault="007E0595" w:rsidP="00655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88252" w14:textId="5AC2B93B" w:rsidR="00D827AC" w:rsidRDefault="0091537C" w:rsidP="0091537C">
    <w:pPr>
      <w:jc w:val="center"/>
    </w:pPr>
    <w:r>
      <w:rPr>
        <w:noProof/>
      </w:rPr>
      <w:drawing>
        <wp:inline distT="0" distB="0" distL="0" distR="0" wp14:anchorId="7B48FBA0" wp14:editId="5AC7DB98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5280C1D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F7A"/>
    <w:multiLevelType w:val="hybridMultilevel"/>
    <w:tmpl w:val="57B888FA"/>
    <w:lvl w:ilvl="0" w:tplc="839A4CD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2D2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E4326"/>
    <w:multiLevelType w:val="hybridMultilevel"/>
    <w:tmpl w:val="76BA4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F3871"/>
    <w:multiLevelType w:val="hybridMultilevel"/>
    <w:tmpl w:val="B49A00E6"/>
    <w:lvl w:ilvl="0" w:tplc="37FC4F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2483F"/>
    <w:multiLevelType w:val="hybridMultilevel"/>
    <w:tmpl w:val="CFC2049A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9" w15:restartNumberingAfterBreak="0">
    <w:nsid w:val="314725E6"/>
    <w:multiLevelType w:val="hybridMultilevel"/>
    <w:tmpl w:val="E842D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96F57"/>
    <w:multiLevelType w:val="hybridMultilevel"/>
    <w:tmpl w:val="4502AB82"/>
    <w:lvl w:ilvl="0" w:tplc="3D708146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686899"/>
    <w:multiLevelType w:val="hybridMultilevel"/>
    <w:tmpl w:val="0DBE7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740F7"/>
    <w:multiLevelType w:val="hybridMultilevel"/>
    <w:tmpl w:val="8B7A29C0"/>
    <w:lvl w:ilvl="0" w:tplc="42D8E83A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3" w15:restartNumberingAfterBreak="0">
    <w:nsid w:val="4CDB3A67"/>
    <w:multiLevelType w:val="hybridMultilevel"/>
    <w:tmpl w:val="9B7ECE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23F49"/>
    <w:multiLevelType w:val="hybridMultilevel"/>
    <w:tmpl w:val="20909728"/>
    <w:lvl w:ilvl="0" w:tplc="0415000F">
      <w:start w:val="1"/>
      <w:numFmt w:val="decimal"/>
      <w:lvlText w:val="%1.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5" w15:restartNumberingAfterBreak="0">
    <w:nsid w:val="545040CC"/>
    <w:multiLevelType w:val="hybridMultilevel"/>
    <w:tmpl w:val="1AEC5312"/>
    <w:lvl w:ilvl="0" w:tplc="708C4054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D3AE9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D6892"/>
    <w:multiLevelType w:val="hybridMultilevel"/>
    <w:tmpl w:val="CE701B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F4189C"/>
    <w:multiLevelType w:val="hybridMultilevel"/>
    <w:tmpl w:val="BAD895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F53C5"/>
    <w:multiLevelType w:val="hybridMultilevel"/>
    <w:tmpl w:val="505E9E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6006A"/>
    <w:multiLevelType w:val="hybridMultilevel"/>
    <w:tmpl w:val="5B566618"/>
    <w:lvl w:ilvl="0" w:tplc="3C10C438">
      <w:start w:val="1"/>
      <w:numFmt w:val="decimal"/>
      <w:lvlText w:val="%1."/>
      <w:lvlJc w:val="left"/>
      <w:pPr>
        <w:ind w:left="715" w:hanging="360"/>
      </w:pPr>
      <w:rPr>
        <w:rFonts w:asciiTheme="majorHAnsi" w:hAnsiTheme="majorHAnsi"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435877">
    <w:abstractNumId w:val="2"/>
  </w:num>
  <w:num w:numId="2" w16cid:durableId="134757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371098">
    <w:abstractNumId w:val="20"/>
  </w:num>
  <w:num w:numId="4" w16cid:durableId="1241674174">
    <w:abstractNumId w:val="9"/>
  </w:num>
  <w:num w:numId="5" w16cid:durableId="1408959481">
    <w:abstractNumId w:val="3"/>
  </w:num>
  <w:num w:numId="6" w16cid:durableId="134614953">
    <w:abstractNumId w:val="15"/>
  </w:num>
  <w:num w:numId="7" w16cid:durableId="1159997613">
    <w:abstractNumId w:val="4"/>
  </w:num>
  <w:num w:numId="8" w16cid:durableId="285551449">
    <w:abstractNumId w:val="16"/>
  </w:num>
  <w:num w:numId="9" w16cid:durableId="1906640541">
    <w:abstractNumId w:val="7"/>
  </w:num>
  <w:num w:numId="10" w16cid:durableId="697387419">
    <w:abstractNumId w:val="19"/>
  </w:num>
  <w:num w:numId="11" w16cid:durableId="698631529">
    <w:abstractNumId w:val="18"/>
  </w:num>
  <w:num w:numId="12" w16cid:durableId="2052223779">
    <w:abstractNumId w:val="13"/>
  </w:num>
  <w:num w:numId="13" w16cid:durableId="1485973150">
    <w:abstractNumId w:val="17"/>
  </w:num>
  <w:num w:numId="14" w16cid:durableId="1990549973">
    <w:abstractNumId w:val="11"/>
  </w:num>
  <w:num w:numId="15" w16cid:durableId="263076319">
    <w:abstractNumId w:val="12"/>
  </w:num>
  <w:num w:numId="16" w16cid:durableId="493959183">
    <w:abstractNumId w:val="10"/>
  </w:num>
  <w:num w:numId="17" w16cid:durableId="1707216109">
    <w:abstractNumId w:val="8"/>
  </w:num>
  <w:num w:numId="18" w16cid:durableId="1045830503">
    <w:abstractNumId w:val="14"/>
  </w:num>
  <w:num w:numId="19" w16cid:durableId="948003846">
    <w:abstractNumId w:val="5"/>
  </w:num>
  <w:num w:numId="20" w16cid:durableId="1429616280">
    <w:abstractNumId w:val="6"/>
  </w:num>
  <w:num w:numId="21" w16cid:durableId="145005464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06"/>
    <w:rsid w:val="00003ACE"/>
    <w:rsid w:val="00017B70"/>
    <w:rsid w:val="00026CC0"/>
    <w:rsid w:val="00033C51"/>
    <w:rsid w:val="00053E85"/>
    <w:rsid w:val="00054D2A"/>
    <w:rsid w:val="00064801"/>
    <w:rsid w:val="000649B2"/>
    <w:rsid w:val="000750A4"/>
    <w:rsid w:val="000864C2"/>
    <w:rsid w:val="00092BF7"/>
    <w:rsid w:val="000A46F0"/>
    <w:rsid w:val="000A4A94"/>
    <w:rsid w:val="000A4D8D"/>
    <w:rsid w:val="000A6DA6"/>
    <w:rsid w:val="000B3348"/>
    <w:rsid w:val="000E0E18"/>
    <w:rsid w:val="000E11E6"/>
    <w:rsid w:val="000E41AA"/>
    <w:rsid w:val="000E43B2"/>
    <w:rsid w:val="000F0406"/>
    <w:rsid w:val="000F6EFE"/>
    <w:rsid w:val="00106DEE"/>
    <w:rsid w:val="0012562D"/>
    <w:rsid w:val="0013066A"/>
    <w:rsid w:val="0014005B"/>
    <w:rsid w:val="00141BD7"/>
    <w:rsid w:val="00142244"/>
    <w:rsid w:val="00151A77"/>
    <w:rsid w:val="00152775"/>
    <w:rsid w:val="00152864"/>
    <w:rsid w:val="00160470"/>
    <w:rsid w:val="0016462A"/>
    <w:rsid w:val="00172F66"/>
    <w:rsid w:val="00191095"/>
    <w:rsid w:val="001A3243"/>
    <w:rsid w:val="001A71AB"/>
    <w:rsid w:val="001B1360"/>
    <w:rsid w:val="001D1833"/>
    <w:rsid w:val="001D53CA"/>
    <w:rsid w:val="001D5870"/>
    <w:rsid w:val="001E01E9"/>
    <w:rsid w:val="001F368B"/>
    <w:rsid w:val="001F43BE"/>
    <w:rsid w:val="001F480C"/>
    <w:rsid w:val="001F59FC"/>
    <w:rsid w:val="00210608"/>
    <w:rsid w:val="00214E69"/>
    <w:rsid w:val="002173BD"/>
    <w:rsid w:val="0022269D"/>
    <w:rsid w:val="002276DB"/>
    <w:rsid w:val="00230183"/>
    <w:rsid w:val="00235617"/>
    <w:rsid w:val="00237D2E"/>
    <w:rsid w:val="002464FC"/>
    <w:rsid w:val="00246EE0"/>
    <w:rsid w:val="00250480"/>
    <w:rsid w:val="00254800"/>
    <w:rsid w:val="002607AE"/>
    <w:rsid w:val="002850E5"/>
    <w:rsid w:val="0029009B"/>
    <w:rsid w:val="0029123B"/>
    <w:rsid w:val="002966D1"/>
    <w:rsid w:val="00296E00"/>
    <w:rsid w:val="002A4C44"/>
    <w:rsid w:val="002B3D9F"/>
    <w:rsid w:val="002D0A32"/>
    <w:rsid w:val="002D5008"/>
    <w:rsid w:val="002D5A4F"/>
    <w:rsid w:val="002E2D31"/>
    <w:rsid w:val="002E60FB"/>
    <w:rsid w:val="002E612A"/>
    <w:rsid w:val="002E72CF"/>
    <w:rsid w:val="002F1BA8"/>
    <w:rsid w:val="002F3C77"/>
    <w:rsid w:val="003007FB"/>
    <w:rsid w:val="003108F6"/>
    <w:rsid w:val="00311031"/>
    <w:rsid w:val="00316610"/>
    <w:rsid w:val="0031748E"/>
    <w:rsid w:val="0032099B"/>
    <w:rsid w:val="0033367F"/>
    <w:rsid w:val="00372B5E"/>
    <w:rsid w:val="00373207"/>
    <w:rsid w:val="00381A34"/>
    <w:rsid w:val="00382C28"/>
    <w:rsid w:val="003839CD"/>
    <w:rsid w:val="00385CFD"/>
    <w:rsid w:val="003940DF"/>
    <w:rsid w:val="003B24DA"/>
    <w:rsid w:val="003B32C2"/>
    <w:rsid w:val="003B5444"/>
    <w:rsid w:val="003D3A2A"/>
    <w:rsid w:val="003D698A"/>
    <w:rsid w:val="003E1107"/>
    <w:rsid w:val="003E24F3"/>
    <w:rsid w:val="003E38BA"/>
    <w:rsid w:val="003E5E84"/>
    <w:rsid w:val="003E6AA9"/>
    <w:rsid w:val="003F0F21"/>
    <w:rsid w:val="003F2E6D"/>
    <w:rsid w:val="003F3536"/>
    <w:rsid w:val="003F5301"/>
    <w:rsid w:val="00403DF0"/>
    <w:rsid w:val="004059C6"/>
    <w:rsid w:val="00417542"/>
    <w:rsid w:val="00425E9D"/>
    <w:rsid w:val="00426D22"/>
    <w:rsid w:val="00430D02"/>
    <w:rsid w:val="004336C4"/>
    <w:rsid w:val="004400A6"/>
    <w:rsid w:val="00440FC1"/>
    <w:rsid w:val="00456256"/>
    <w:rsid w:val="00470E6D"/>
    <w:rsid w:val="00474966"/>
    <w:rsid w:val="00484F0D"/>
    <w:rsid w:val="004950D0"/>
    <w:rsid w:val="004A4072"/>
    <w:rsid w:val="004A6F68"/>
    <w:rsid w:val="004B1521"/>
    <w:rsid w:val="004B2F4C"/>
    <w:rsid w:val="004C4575"/>
    <w:rsid w:val="004C48AC"/>
    <w:rsid w:val="004C5586"/>
    <w:rsid w:val="004C5C73"/>
    <w:rsid w:val="004D3793"/>
    <w:rsid w:val="004D456E"/>
    <w:rsid w:val="004D574B"/>
    <w:rsid w:val="004E0CE5"/>
    <w:rsid w:val="004E268D"/>
    <w:rsid w:val="004E27D5"/>
    <w:rsid w:val="004E27D9"/>
    <w:rsid w:val="005000B1"/>
    <w:rsid w:val="00504FB1"/>
    <w:rsid w:val="005072D8"/>
    <w:rsid w:val="00510CBE"/>
    <w:rsid w:val="00523166"/>
    <w:rsid w:val="00524D86"/>
    <w:rsid w:val="00537323"/>
    <w:rsid w:val="00540786"/>
    <w:rsid w:val="00542586"/>
    <w:rsid w:val="00545D5E"/>
    <w:rsid w:val="0056069C"/>
    <w:rsid w:val="005738E7"/>
    <w:rsid w:val="005756FB"/>
    <w:rsid w:val="00580D63"/>
    <w:rsid w:val="00581E87"/>
    <w:rsid w:val="00593A92"/>
    <w:rsid w:val="00596C6A"/>
    <w:rsid w:val="005A40CF"/>
    <w:rsid w:val="005C0274"/>
    <w:rsid w:val="005C7247"/>
    <w:rsid w:val="005D166B"/>
    <w:rsid w:val="005D5182"/>
    <w:rsid w:val="005E1DF1"/>
    <w:rsid w:val="005F6FE1"/>
    <w:rsid w:val="00610A57"/>
    <w:rsid w:val="006150CD"/>
    <w:rsid w:val="00617379"/>
    <w:rsid w:val="0063020C"/>
    <w:rsid w:val="0063118A"/>
    <w:rsid w:val="00636428"/>
    <w:rsid w:val="00645B94"/>
    <w:rsid w:val="00646E3A"/>
    <w:rsid w:val="00655CBD"/>
    <w:rsid w:val="00664EE2"/>
    <w:rsid w:val="00665271"/>
    <w:rsid w:val="00667CBD"/>
    <w:rsid w:val="0067137A"/>
    <w:rsid w:val="00682EAD"/>
    <w:rsid w:val="006955B2"/>
    <w:rsid w:val="006A10C3"/>
    <w:rsid w:val="006A3A0D"/>
    <w:rsid w:val="006A3A62"/>
    <w:rsid w:val="006A4264"/>
    <w:rsid w:val="006A431E"/>
    <w:rsid w:val="006A7649"/>
    <w:rsid w:val="006B150B"/>
    <w:rsid w:val="006B3532"/>
    <w:rsid w:val="006B4C07"/>
    <w:rsid w:val="006B5684"/>
    <w:rsid w:val="006C470E"/>
    <w:rsid w:val="006D4D34"/>
    <w:rsid w:val="006E497A"/>
    <w:rsid w:val="006F084C"/>
    <w:rsid w:val="006F1D61"/>
    <w:rsid w:val="006F2ADE"/>
    <w:rsid w:val="007020BB"/>
    <w:rsid w:val="00702DBB"/>
    <w:rsid w:val="007035D3"/>
    <w:rsid w:val="0070625D"/>
    <w:rsid w:val="00710C86"/>
    <w:rsid w:val="00711674"/>
    <w:rsid w:val="00720A5B"/>
    <w:rsid w:val="00724664"/>
    <w:rsid w:val="007409BA"/>
    <w:rsid w:val="00741275"/>
    <w:rsid w:val="0074555E"/>
    <w:rsid w:val="007640DC"/>
    <w:rsid w:val="00764889"/>
    <w:rsid w:val="0077053E"/>
    <w:rsid w:val="007921FC"/>
    <w:rsid w:val="007B12B3"/>
    <w:rsid w:val="007C0526"/>
    <w:rsid w:val="007C3EB3"/>
    <w:rsid w:val="007D2F41"/>
    <w:rsid w:val="007D589F"/>
    <w:rsid w:val="007E0595"/>
    <w:rsid w:val="007F4CBE"/>
    <w:rsid w:val="00805EBD"/>
    <w:rsid w:val="00806FBC"/>
    <w:rsid w:val="00814367"/>
    <w:rsid w:val="00814BEA"/>
    <w:rsid w:val="00824155"/>
    <w:rsid w:val="0082443F"/>
    <w:rsid w:val="00841365"/>
    <w:rsid w:val="00841B6C"/>
    <w:rsid w:val="00843963"/>
    <w:rsid w:val="00854CCE"/>
    <w:rsid w:val="008600A6"/>
    <w:rsid w:val="00862083"/>
    <w:rsid w:val="008710F1"/>
    <w:rsid w:val="0087449E"/>
    <w:rsid w:val="00875CE3"/>
    <w:rsid w:val="0087607F"/>
    <w:rsid w:val="00890990"/>
    <w:rsid w:val="00893738"/>
    <w:rsid w:val="008A132E"/>
    <w:rsid w:val="008A6200"/>
    <w:rsid w:val="008A666E"/>
    <w:rsid w:val="008A7C92"/>
    <w:rsid w:val="008B2282"/>
    <w:rsid w:val="008B394C"/>
    <w:rsid w:val="008B736F"/>
    <w:rsid w:val="008C01AF"/>
    <w:rsid w:val="008D0A8A"/>
    <w:rsid w:val="008D1481"/>
    <w:rsid w:val="008D1571"/>
    <w:rsid w:val="008D3CAD"/>
    <w:rsid w:val="008D64C9"/>
    <w:rsid w:val="008E433C"/>
    <w:rsid w:val="008F6985"/>
    <w:rsid w:val="00906AA4"/>
    <w:rsid w:val="00907249"/>
    <w:rsid w:val="0091537C"/>
    <w:rsid w:val="00920E99"/>
    <w:rsid w:val="00921397"/>
    <w:rsid w:val="009250F2"/>
    <w:rsid w:val="0092774F"/>
    <w:rsid w:val="0093282C"/>
    <w:rsid w:val="00932D8F"/>
    <w:rsid w:val="009351BE"/>
    <w:rsid w:val="00937031"/>
    <w:rsid w:val="009375EE"/>
    <w:rsid w:val="0094264B"/>
    <w:rsid w:val="009511D3"/>
    <w:rsid w:val="00952968"/>
    <w:rsid w:val="00960A32"/>
    <w:rsid w:val="00961780"/>
    <w:rsid w:val="009618A0"/>
    <w:rsid w:val="00976D79"/>
    <w:rsid w:val="00983253"/>
    <w:rsid w:val="0098440B"/>
    <w:rsid w:val="0099039F"/>
    <w:rsid w:val="00990932"/>
    <w:rsid w:val="00994F0D"/>
    <w:rsid w:val="009A2883"/>
    <w:rsid w:val="009B2F03"/>
    <w:rsid w:val="009B7C73"/>
    <w:rsid w:val="009D6E09"/>
    <w:rsid w:val="00A0721A"/>
    <w:rsid w:val="00A073A1"/>
    <w:rsid w:val="00A11B8A"/>
    <w:rsid w:val="00A304BE"/>
    <w:rsid w:val="00A30728"/>
    <w:rsid w:val="00A34518"/>
    <w:rsid w:val="00A478EC"/>
    <w:rsid w:val="00A53ADE"/>
    <w:rsid w:val="00A56842"/>
    <w:rsid w:val="00A67B9C"/>
    <w:rsid w:val="00A70B4E"/>
    <w:rsid w:val="00A76FDB"/>
    <w:rsid w:val="00A86904"/>
    <w:rsid w:val="00A97744"/>
    <w:rsid w:val="00AA2D4A"/>
    <w:rsid w:val="00AA5942"/>
    <w:rsid w:val="00AA6788"/>
    <w:rsid w:val="00AB72FF"/>
    <w:rsid w:val="00AC3537"/>
    <w:rsid w:val="00AD1FFB"/>
    <w:rsid w:val="00AD7F3C"/>
    <w:rsid w:val="00AE0874"/>
    <w:rsid w:val="00AF6A93"/>
    <w:rsid w:val="00B0278D"/>
    <w:rsid w:val="00B11389"/>
    <w:rsid w:val="00B16974"/>
    <w:rsid w:val="00B24653"/>
    <w:rsid w:val="00B25EE8"/>
    <w:rsid w:val="00B3077D"/>
    <w:rsid w:val="00B4244F"/>
    <w:rsid w:val="00B4731A"/>
    <w:rsid w:val="00B6096D"/>
    <w:rsid w:val="00B72ACC"/>
    <w:rsid w:val="00B90D55"/>
    <w:rsid w:val="00B9164D"/>
    <w:rsid w:val="00B92F3A"/>
    <w:rsid w:val="00BC34E5"/>
    <w:rsid w:val="00BC422F"/>
    <w:rsid w:val="00BD3A53"/>
    <w:rsid w:val="00BE1167"/>
    <w:rsid w:val="00BE288C"/>
    <w:rsid w:val="00BE624D"/>
    <w:rsid w:val="00BF4947"/>
    <w:rsid w:val="00BF760D"/>
    <w:rsid w:val="00C078B0"/>
    <w:rsid w:val="00C11802"/>
    <w:rsid w:val="00C1184A"/>
    <w:rsid w:val="00C14792"/>
    <w:rsid w:val="00C202D4"/>
    <w:rsid w:val="00C25AAB"/>
    <w:rsid w:val="00C340FF"/>
    <w:rsid w:val="00C52EC2"/>
    <w:rsid w:val="00C538A7"/>
    <w:rsid w:val="00C55D48"/>
    <w:rsid w:val="00C62F73"/>
    <w:rsid w:val="00C64760"/>
    <w:rsid w:val="00C66EAA"/>
    <w:rsid w:val="00C752E9"/>
    <w:rsid w:val="00C76E1A"/>
    <w:rsid w:val="00C8560C"/>
    <w:rsid w:val="00C865A5"/>
    <w:rsid w:val="00C905AA"/>
    <w:rsid w:val="00CD4649"/>
    <w:rsid w:val="00CD47CB"/>
    <w:rsid w:val="00CD61CF"/>
    <w:rsid w:val="00CE30C1"/>
    <w:rsid w:val="00CF617B"/>
    <w:rsid w:val="00D0179E"/>
    <w:rsid w:val="00D027C9"/>
    <w:rsid w:val="00D10319"/>
    <w:rsid w:val="00D20992"/>
    <w:rsid w:val="00D232F6"/>
    <w:rsid w:val="00D2356C"/>
    <w:rsid w:val="00D3004F"/>
    <w:rsid w:val="00D317BD"/>
    <w:rsid w:val="00D322C3"/>
    <w:rsid w:val="00D34D84"/>
    <w:rsid w:val="00D40699"/>
    <w:rsid w:val="00D60093"/>
    <w:rsid w:val="00D72DE1"/>
    <w:rsid w:val="00D827AC"/>
    <w:rsid w:val="00D85C31"/>
    <w:rsid w:val="00D9402F"/>
    <w:rsid w:val="00DA41B9"/>
    <w:rsid w:val="00DB00FA"/>
    <w:rsid w:val="00DB29EE"/>
    <w:rsid w:val="00DB3208"/>
    <w:rsid w:val="00DC191F"/>
    <w:rsid w:val="00DD1079"/>
    <w:rsid w:val="00DD1191"/>
    <w:rsid w:val="00DD5A39"/>
    <w:rsid w:val="00DE0341"/>
    <w:rsid w:val="00DF4292"/>
    <w:rsid w:val="00E00D06"/>
    <w:rsid w:val="00E022C5"/>
    <w:rsid w:val="00E20DA4"/>
    <w:rsid w:val="00E27458"/>
    <w:rsid w:val="00E30022"/>
    <w:rsid w:val="00E3285B"/>
    <w:rsid w:val="00E3341F"/>
    <w:rsid w:val="00E51601"/>
    <w:rsid w:val="00E575FD"/>
    <w:rsid w:val="00E610F1"/>
    <w:rsid w:val="00E73AE1"/>
    <w:rsid w:val="00E82695"/>
    <w:rsid w:val="00E87124"/>
    <w:rsid w:val="00E921CF"/>
    <w:rsid w:val="00E967F7"/>
    <w:rsid w:val="00EA4EFE"/>
    <w:rsid w:val="00EB4F00"/>
    <w:rsid w:val="00EC757D"/>
    <w:rsid w:val="00ED3319"/>
    <w:rsid w:val="00F06B90"/>
    <w:rsid w:val="00F1059B"/>
    <w:rsid w:val="00F11D70"/>
    <w:rsid w:val="00F215C8"/>
    <w:rsid w:val="00F27262"/>
    <w:rsid w:val="00F33FAE"/>
    <w:rsid w:val="00F36B42"/>
    <w:rsid w:val="00F37007"/>
    <w:rsid w:val="00F51371"/>
    <w:rsid w:val="00F519D3"/>
    <w:rsid w:val="00F7097F"/>
    <w:rsid w:val="00FA2388"/>
    <w:rsid w:val="00FA46B3"/>
    <w:rsid w:val="00FA50B7"/>
    <w:rsid w:val="00FB3A95"/>
    <w:rsid w:val="00FC1E82"/>
    <w:rsid w:val="00FC3C6D"/>
    <w:rsid w:val="00FC4682"/>
    <w:rsid w:val="00FC50E6"/>
    <w:rsid w:val="00FC606A"/>
    <w:rsid w:val="00FC67D2"/>
    <w:rsid w:val="00FC6963"/>
    <w:rsid w:val="00FD13E3"/>
    <w:rsid w:val="00FD2734"/>
    <w:rsid w:val="00FD53E9"/>
    <w:rsid w:val="00FE3B6F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B733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Theme="minorHAnsi" w:hAnsi="Calibri Light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5CBD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D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655CBD"/>
    <w:pPr>
      <w:keepNext/>
      <w:numPr>
        <w:numId w:val="1"/>
      </w:numPr>
      <w:outlineLvl w:val="2"/>
    </w:pPr>
    <w:rPr>
      <w:rFonts w:ascii="Comic Sans MS" w:hAnsi="Comic Sans MS"/>
      <w:b/>
      <w:bCs/>
      <w:sz w:val="18"/>
      <w:szCs w:val="20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55CBD"/>
    <w:rPr>
      <w:rFonts w:ascii="Comic Sans MS" w:eastAsia="Times New Roman" w:hAnsi="Comic Sans MS" w:cs="Times New Roman"/>
      <w:b/>
      <w:bCs/>
      <w:sz w:val="18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655CBD"/>
    <w:pPr>
      <w:tabs>
        <w:tab w:val="center" w:pos="4536"/>
        <w:tab w:val="right" w:pos="9072"/>
      </w:tabs>
      <w:suppressAutoHyphens w:val="0"/>
    </w:pPr>
    <w:rPr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55CBD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55CB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CBD"/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Style17">
    <w:name w:val="Style17"/>
    <w:basedOn w:val="Normalny"/>
    <w:rsid w:val="00426D22"/>
    <w:pPr>
      <w:widowControl w:val="0"/>
      <w:suppressAutoHyphens w:val="0"/>
      <w:autoSpaceDE w:val="0"/>
      <w:autoSpaceDN w:val="0"/>
      <w:adjustRightInd w:val="0"/>
      <w:spacing w:line="211" w:lineRule="exact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D2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Bezodstpw">
    <w:name w:val="No Spacing"/>
    <w:uiPriority w:val="1"/>
    <w:qFormat/>
    <w:rsid w:val="00426D22"/>
    <w:pPr>
      <w:spacing w:after="0" w:line="240" w:lineRule="auto"/>
    </w:pPr>
    <w:rPr>
      <w:rFonts w:ascii="Garamond" w:eastAsia="Times New Roman" w:hAnsi="Garamond" w:cs="Times New Roman"/>
      <w:szCs w:val="20"/>
      <w:lang w:eastAsia="pl-PL"/>
    </w:rPr>
  </w:style>
  <w:style w:type="character" w:customStyle="1" w:styleId="FontStyle18">
    <w:name w:val="Font Style18"/>
    <w:rsid w:val="00426D22"/>
    <w:rPr>
      <w:rFonts w:ascii="Arial" w:hAnsi="Arial" w:cs="Arial" w:hint="default"/>
      <w:color w:val="000000"/>
      <w:sz w:val="18"/>
      <w:szCs w:val="18"/>
    </w:rPr>
  </w:style>
  <w:style w:type="character" w:customStyle="1" w:styleId="AkapitzlistZnak">
    <w:name w:val="Akapit z listą Znak"/>
    <w:link w:val="Akapitzlist"/>
    <w:uiPriority w:val="34"/>
    <w:rsid w:val="004E268D"/>
    <w:rPr>
      <w:rFonts w:ascii="Times New Roman" w:eastAsia="Times New Roman" w:hAnsi="Times New Roman" w:cs="Times New Roman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B3077D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8D1481"/>
    <w:pPr>
      <w:spacing w:after="0" w:line="240" w:lineRule="auto"/>
    </w:pPr>
    <w:rPr>
      <w:rFonts w:asciiTheme="minorHAnsi" w:hAnsiTheme="minorHAnsi"/>
      <w:kern w:val="2"/>
      <w:sz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E244D2-5D4A-405D-A6CD-7D80CA4AC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BE5FC1-B77A-402C-B577-B62D16125B75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6EE4C882-4D1E-4A18-9742-39506171DC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5059</Characters>
  <Application>Microsoft Office Word</Application>
  <DocSecurity>0</DocSecurity>
  <Lines>297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2026-02-10T07:25:00Z</dcterms:created>
  <dcterms:modified xsi:type="dcterms:W3CDTF">2026-02-23T09:56:00Z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